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eastAsia="黑体"/>
          <w:sz w:val="28"/>
          <w:szCs w:val="28"/>
          <w:lang w:val="en-US" w:eastAsia="zh-CN"/>
        </w:rPr>
      </w:pPr>
      <w:r>
        <w:rPr>
          <w:rFonts w:hint="eastAsia" w:ascii="黑体" w:eastAsia="黑体"/>
          <w:sz w:val="28"/>
          <w:szCs w:val="28"/>
          <w:lang w:eastAsia="zh-CN"/>
        </w:rPr>
        <w:t>附件</w:t>
      </w:r>
      <w:r>
        <w:rPr>
          <w:rFonts w:hint="eastAsia" w:ascii="黑体" w:eastAsia="黑体"/>
          <w:sz w:val="28"/>
          <w:szCs w:val="28"/>
          <w:lang w:val="en-US" w:eastAsia="zh-CN"/>
        </w:rPr>
        <w:t>4</w:t>
      </w:r>
    </w:p>
    <w:p>
      <w:pPr>
        <w:jc w:val="center"/>
        <w:rPr>
          <w:rFonts w:hint="eastAsia" w:ascii="方正小标宋简体" w:hAnsi="方正小标宋简体" w:eastAsia="方正小标宋简体" w:cs="方正小标宋简体"/>
          <w:b w:val="0"/>
          <w:bCs/>
          <w:sz w:val="36"/>
          <w:szCs w:val="36"/>
        </w:rPr>
      </w:pPr>
      <w:bookmarkStart w:id="0" w:name="_GoBack"/>
      <w:r>
        <w:rPr>
          <w:rFonts w:hint="eastAsia" w:ascii="方正小标宋简体" w:hAnsi="方正小标宋简体" w:eastAsia="方正小标宋简体" w:cs="方正小标宋简体"/>
          <w:b w:val="0"/>
          <w:bCs/>
          <w:sz w:val="36"/>
          <w:szCs w:val="36"/>
        </w:rPr>
        <w:t>基层法律服务行业违法行为行政处罚裁量基准（试行）</w:t>
      </w:r>
      <w:bookmarkEnd w:id="0"/>
    </w:p>
    <w:p>
      <w:pPr>
        <w:rPr>
          <w:rFonts w:hint="eastAsia"/>
        </w:rPr>
      </w:pPr>
    </w:p>
    <w:tbl>
      <w:tblPr>
        <w:tblStyle w:val="7"/>
        <w:tblW w:w="15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597"/>
        <w:gridCol w:w="2225"/>
        <w:gridCol w:w="2967"/>
        <w:gridCol w:w="3652"/>
        <w:gridCol w:w="3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856" w:type="dxa"/>
            <w:noWrap w:val="0"/>
            <w:vAlign w:val="center"/>
          </w:tcPr>
          <w:p>
            <w:pPr>
              <w:spacing w:line="320" w:lineRule="exact"/>
              <w:jc w:val="center"/>
              <w:rPr>
                <w:rFonts w:hint="eastAsia" w:ascii="黑体" w:eastAsia="黑体"/>
                <w:sz w:val="24"/>
                <w:szCs w:val="24"/>
              </w:rPr>
            </w:pPr>
            <w:r>
              <w:rPr>
                <w:rFonts w:hint="eastAsia" w:ascii="黑体" w:eastAsia="黑体"/>
                <w:sz w:val="24"/>
                <w:szCs w:val="24"/>
              </w:rPr>
              <w:t>序号</w:t>
            </w:r>
          </w:p>
        </w:tc>
        <w:tc>
          <w:tcPr>
            <w:tcW w:w="1597" w:type="dxa"/>
            <w:noWrap w:val="0"/>
            <w:vAlign w:val="center"/>
          </w:tcPr>
          <w:p>
            <w:pPr>
              <w:spacing w:line="320" w:lineRule="exact"/>
              <w:jc w:val="center"/>
              <w:rPr>
                <w:rFonts w:hint="eastAsia" w:ascii="黑体" w:eastAsia="黑体"/>
                <w:sz w:val="24"/>
                <w:szCs w:val="24"/>
              </w:rPr>
            </w:pPr>
            <w:r>
              <w:rPr>
                <w:rFonts w:hint="eastAsia" w:ascii="黑体" w:eastAsia="黑体"/>
                <w:sz w:val="24"/>
                <w:szCs w:val="24"/>
              </w:rPr>
              <w:t>违法行为</w:t>
            </w:r>
          </w:p>
        </w:tc>
        <w:tc>
          <w:tcPr>
            <w:tcW w:w="2225" w:type="dxa"/>
            <w:noWrap w:val="0"/>
            <w:vAlign w:val="center"/>
          </w:tcPr>
          <w:p>
            <w:pPr>
              <w:spacing w:line="320" w:lineRule="exact"/>
              <w:jc w:val="center"/>
              <w:rPr>
                <w:rFonts w:hint="eastAsia" w:ascii="黑体" w:eastAsia="黑体"/>
                <w:sz w:val="24"/>
                <w:szCs w:val="24"/>
              </w:rPr>
            </w:pPr>
            <w:r>
              <w:rPr>
                <w:rFonts w:hint="eastAsia" w:ascii="黑体" w:eastAsia="黑体"/>
                <w:sz w:val="24"/>
                <w:szCs w:val="24"/>
              </w:rPr>
              <w:t>法律依据</w:t>
            </w:r>
          </w:p>
        </w:tc>
        <w:tc>
          <w:tcPr>
            <w:tcW w:w="2967" w:type="dxa"/>
            <w:noWrap w:val="0"/>
            <w:vAlign w:val="center"/>
          </w:tcPr>
          <w:p>
            <w:pPr>
              <w:spacing w:line="320" w:lineRule="exact"/>
              <w:jc w:val="center"/>
              <w:rPr>
                <w:rFonts w:hint="eastAsia" w:ascii="黑体" w:eastAsia="黑体"/>
                <w:sz w:val="24"/>
                <w:szCs w:val="24"/>
              </w:rPr>
            </w:pPr>
            <w:r>
              <w:rPr>
                <w:rFonts w:hint="eastAsia" w:ascii="黑体" w:eastAsia="黑体"/>
                <w:sz w:val="24"/>
                <w:szCs w:val="24"/>
              </w:rPr>
              <w:t>处罚条款内容</w:t>
            </w:r>
          </w:p>
        </w:tc>
        <w:tc>
          <w:tcPr>
            <w:tcW w:w="3652" w:type="dxa"/>
            <w:noWrap w:val="0"/>
            <w:vAlign w:val="center"/>
          </w:tcPr>
          <w:p>
            <w:pPr>
              <w:spacing w:line="320" w:lineRule="exact"/>
              <w:jc w:val="center"/>
              <w:rPr>
                <w:rFonts w:hint="eastAsia" w:ascii="黑体" w:eastAsia="黑体"/>
                <w:sz w:val="24"/>
                <w:szCs w:val="24"/>
                <w:lang w:eastAsia="zh-CN"/>
              </w:rPr>
            </w:pPr>
            <w:r>
              <w:rPr>
                <w:rFonts w:hint="eastAsia" w:ascii="黑体" w:eastAsia="黑体"/>
                <w:sz w:val="24"/>
                <w:szCs w:val="24"/>
                <w:lang w:eastAsia="zh-CN"/>
              </w:rPr>
              <w:t>适用情形</w:t>
            </w:r>
          </w:p>
        </w:tc>
        <w:tc>
          <w:tcPr>
            <w:tcW w:w="3823" w:type="dxa"/>
            <w:noWrap w:val="0"/>
            <w:vAlign w:val="center"/>
          </w:tcPr>
          <w:p>
            <w:pPr>
              <w:spacing w:line="320" w:lineRule="exact"/>
              <w:jc w:val="center"/>
              <w:rPr>
                <w:rFonts w:hint="eastAsia" w:ascii="黑体" w:eastAsia="黑体"/>
                <w:sz w:val="24"/>
                <w:szCs w:val="24"/>
              </w:rPr>
            </w:pPr>
            <w:r>
              <w:rPr>
                <w:rFonts w:hint="eastAsia" w:ascii="黑体" w:eastAsia="黑体"/>
                <w:sz w:val="24"/>
                <w:szCs w:val="24"/>
              </w:rPr>
              <w:t>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基层法律服务工作者超越业务范围和诉讼代理执业区域执业</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《基层法律服务工作者管理办法》第四十六条第一款第（一）项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基层法律服务工作者以贬损他人、抬高自己、虚假承诺或者支付介绍费等不正当手段争揽业务</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《基层法律服务工作者管理办法》第四十六条第一款第（二）项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曾担任法官的基层法律服务工作者，担任原任职法院办理案件的诉讼代理人</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《基层法律服务工作者管理办法》第四十六条第一款第（三）项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w:t>
            </w:r>
            <w:r>
              <w:rPr>
                <w:rFonts w:hint="eastAsia" w:ascii="仿宋_GB2312" w:hAnsi="仿宋_GB2312" w:eastAsia="仿宋_GB2312" w:cs="仿宋_GB2312"/>
                <w:color w:val="auto"/>
                <w:sz w:val="21"/>
                <w:szCs w:val="21"/>
                <w:lang w:eastAsia="zh-CN"/>
              </w:rPr>
              <w:t>；有其他较重情节。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基层法律服务工作者冒用律师名义执业</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《基层法律服务工作者管理办法》第四十六条第一款第（四）项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基层法律服务工作者同时在基层法律服务所和律师事务所或者公证机构执业，或者同时在两个以上基层法律服务所执业</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《基层法律服务工作者管理办法》第四十六条第一款第（五）项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w:t>
            </w:r>
            <w:r>
              <w:rPr>
                <w:rFonts w:hint="eastAsia" w:ascii="仿宋_GB2312" w:hAnsi="仿宋_GB2312" w:eastAsia="仿宋_GB2312" w:cs="仿宋_GB2312"/>
                <w:color w:val="auto"/>
                <w:sz w:val="21"/>
                <w:szCs w:val="21"/>
                <w:lang w:eastAsia="zh-CN"/>
              </w:rPr>
              <w:t>；有其他较重情节。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jc w:val="center"/>
        </w:trPr>
        <w:tc>
          <w:tcPr>
            <w:tcW w:w="856"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1597" w:type="dxa"/>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基层法律服务工作者无正当理由拒绝履行法律援助义务</w:t>
            </w:r>
          </w:p>
        </w:tc>
        <w:tc>
          <w:tcPr>
            <w:tcW w:w="2225" w:type="dxa"/>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《基层法律服务工作者管理办法》第四十六条第一款第（六）项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noWrap w:val="0"/>
            <w:vAlign w:val="center"/>
          </w:tcPr>
          <w:p>
            <w:pPr>
              <w:spacing w:line="280" w:lineRule="exact"/>
              <w:ind w:firstLine="420" w:firstLineChars="20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基层法律服务工作者明知委托人的要求是非法的、欺诈性的，仍为其提供帮助</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《基层法律服务工作者管理办法》第四十六条第一款第（七）项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基层法律服务工作者在代理活动中超越代理权限或者滥用代理权，侵犯被代理人合法利益</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《基层法律服务工作者管理办法》第四十六条第一款第（八）项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856" w:type="dxa"/>
            <w:vMerge w:val="continue"/>
            <w:noWrap w:val="0"/>
            <w:vAlign w:val="center"/>
          </w:tcPr>
          <w:p>
            <w:pPr>
              <w:spacing w:line="280" w:lineRule="exact"/>
              <w:ind w:firstLine="0" w:firstLineChars="0"/>
              <w:jc w:val="center"/>
            </w:pPr>
          </w:p>
        </w:tc>
        <w:tc>
          <w:tcPr>
            <w:tcW w:w="1597" w:type="dxa"/>
            <w:vMerge w:val="continue"/>
            <w:noWrap w:val="0"/>
            <w:vAlign w:val="center"/>
          </w:tcPr>
          <w:p>
            <w:pPr>
              <w:spacing w:line="280" w:lineRule="exact"/>
              <w:ind w:firstLine="0" w:firstLineChars="0"/>
              <w:jc w:val="center"/>
            </w:pPr>
          </w:p>
        </w:tc>
        <w:tc>
          <w:tcPr>
            <w:tcW w:w="2225" w:type="dxa"/>
            <w:vMerge w:val="continue"/>
            <w:noWrap w:val="0"/>
            <w:vAlign w:val="center"/>
          </w:tcPr>
          <w:p>
            <w:pPr>
              <w:spacing w:line="280" w:lineRule="exact"/>
              <w:ind w:firstLine="0" w:firstLineChars="0"/>
              <w:jc w:val="center"/>
              <w:rPr>
                <w:color w:val="auto"/>
              </w:rPr>
            </w:pPr>
          </w:p>
        </w:tc>
        <w:tc>
          <w:tcPr>
            <w:tcW w:w="2967" w:type="dxa"/>
            <w:vMerge w:val="continue"/>
            <w:noWrap w:val="0"/>
            <w:vAlign w:val="center"/>
          </w:tcPr>
          <w:p>
            <w:pPr>
              <w:spacing w:line="280" w:lineRule="exact"/>
              <w:ind w:firstLine="0" w:firstLineChars="0"/>
              <w:jc w:val="center"/>
              <w:rPr>
                <w:color w:val="auto"/>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856" w:type="dxa"/>
            <w:vMerge w:val="continue"/>
            <w:noWrap w:val="0"/>
            <w:vAlign w:val="center"/>
          </w:tcPr>
          <w:p>
            <w:pPr>
              <w:spacing w:line="280" w:lineRule="exact"/>
              <w:ind w:firstLine="0" w:firstLineChars="0"/>
              <w:jc w:val="center"/>
            </w:pPr>
          </w:p>
        </w:tc>
        <w:tc>
          <w:tcPr>
            <w:tcW w:w="1597" w:type="dxa"/>
            <w:vMerge w:val="continue"/>
            <w:noWrap w:val="0"/>
            <w:vAlign w:val="center"/>
          </w:tcPr>
          <w:p>
            <w:pPr>
              <w:spacing w:line="280" w:lineRule="exact"/>
              <w:ind w:firstLine="0" w:firstLineChars="0"/>
              <w:jc w:val="center"/>
            </w:pPr>
          </w:p>
        </w:tc>
        <w:tc>
          <w:tcPr>
            <w:tcW w:w="2225" w:type="dxa"/>
            <w:vMerge w:val="continue"/>
            <w:noWrap w:val="0"/>
            <w:vAlign w:val="center"/>
          </w:tcPr>
          <w:p>
            <w:pPr>
              <w:spacing w:line="280" w:lineRule="exact"/>
              <w:ind w:firstLine="0" w:firstLineChars="0"/>
              <w:jc w:val="center"/>
              <w:rPr>
                <w:color w:val="auto"/>
              </w:rPr>
            </w:pPr>
          </w:p>
        </w:tc>
        <w:tc>
          <w:tcPr>
            <w:tcW w:w="2967" w:type="dxa"/>
            <w:vMerge w:val="continue"/>
            <w:noWrap w:val="0"/>
            <w:vAlign w:val="center"/>
          </w:tcPr>
          <w:p>
            <w:pPr>
              <w:spacing w:line="280" w:lineRule="exact"/>
              <w:ind w:firstLine="0" w:firstLineChars="0"/>
              <w:jc w:val="center"/>
              <w:rPr>
                <w:color w:val="auto"/>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基层法律服务工作者在同一诉讼、仲裁、行政裁决中，为双方当事人或者有利害关系的第三人代理</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《基层法律服务工作者管理办法》第四十六条第一款第（九）项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856"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w:t>
            </w:r>
          </w:p>
        </w:tc>
        <w:tc>
          <w:tcPr>
            <w:tcW w:w="1597" w:type="dxa"/>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基层法律服务工作者不遵守与当事人订立的委托合同，拒绝或者疏怠履行法律服务义务，损害委托人合法权益</w:t>
            </w:r>
          </w:p>
        </w:tc>
        <w:tc>
          <w:tcPr>
            <w:tcW w:w="2225" w:type="dxa"/>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noWrap w:val="0"/>
            <w:vAlign w:val="center"/>
          </w:tcPr>
          <w:p>
            <w:pPr>
              <w:spacing w:line="280" w:lineRule="exact"/>
              <w:ind w:firstLine="420" w:firstLineChars="20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56"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w:t>
            </w:r>
          </w:p>
        </w:tc>
        <w:tc>
          <w:tcPr>
            <w:tcW w:w="1597" w:type="dxa"/>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基层法律服务工作者在调解、代理、法律顾问等执业活动中压制、侮辱、报复当事人，造成恶劣影响</w:t>
            </w:r>
          </w:p>
        </w:tc>
        <w:tc>
          <w:tcPr>
            <w:tcW w:w="2225" w:type="dxa"/>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《基层法律服务工作者管理办法》第四十六条第一款第（十一）项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基层法律服务工作者不按规定接受年度考核，或者在年度考核中弄虚作假</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《基层法律服务工作者管理办法》第四十六条第一款第（十二）项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w:t>
            </w:r>
            <w:r>
              <w:rPr>
                <w:rFonts w:hint="eastAsia" w:ascii="仿宋_GB2312" w:hAnsi="仿宋_GB2312" w:eastAsia="仿宋_GB2312" w:cs="仿宋_GB2312"/>
                <w:color w:val="auto"/>
                <w:sz w:val="21"/>
                <w:szCs w:val="21"/>
                <w:lang w:eastAsia="zh-CN"/>
              </w:rPr>
              <w:t>；有其他较重情节。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基层法律服务工作者泄露在执业活动中知悉的商业秘密或者个人隐私</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《基层法律服务工作者管理办法》第四十六条第一款第（十三）项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6"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14</w:t>
            </w:r>
          </w:p>
        </w:tc>
        <w:tc>
          <w:tcPr>
            <w:tcW w:w="1597" w:type="dxa"/>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基层法律服务工作者以影响案件审判、仲裁或者行政裁定结果为目的，违反规定会见有关司法、仲裁或者行政执法人员，或者向其请客送礼</w:t>
            </w:r>
          </w:p>
        </w:tc>
        <w:tc>
          <w:tcPr>
            <w:tcW w:w="2225" w:type="dxa"/>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《基层法律服务工作者管理办法》第四十六条第一款第（十四）项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5"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基层法律服务工作者私自接受委托承办法律事务，或者私自收取费用，或者向委托人索要额外报酬</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《基层法律服务工作者管理办法》第四十六条第一款第（十五）项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4"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基层法律服务工作者在代理活动中收受对方当事人、利害关系人财物或者与其恶意串通，损害委托人合法权益</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《基层法律服务工作者管理办法》第四十六条第一款第（十六）项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5" w:hRule="atLeast"/>
          <w:jc w:val="center"/>
        </w:trPr>
        <w:tc>
          <w:tcPr>
            <w:tcW w:w="856"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17</w:t>
            </w:r>
          </w:p>
        </w:tc>
        <w:tc>
          <w:tcPr>
            <w:tcW w:w="1597" w:type="dxa"/>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基层法律服务工作者违反司法、仲裁、行政执法工作有关制度规定，干扰或者阻碍司法、仲裁、行政执法工作正常进行</w:t>
            </w:r>
          </w:p>
        </w:tc>
        <w:tc>
          <w:tcPr>
            <w:tcW w:w="2225" w:type="dxa"/>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《基层法律服务工作者管理办法》第四十六条第一款第（十七）项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18</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基层法律服务工作者泄露在执业活动中知悉的国家秘密</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《基层法律服务工作者管理办法》第四十六条第一款第（十八）项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856"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19</w:t>
            </w:r>
          </w:p>
        </w:tc>
        <w:tc>
          <w:tcPr>
            <w:tcW w:w="1597" w:type="dxa"/>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w:t>
            </w:r>
            <w:r>
              <w:rPr>
                <w:rFonts w:hint="eastAsia" w:ascii="仿宋_GB2312" w:hAnsi="仿宋_GB2312" w:eastAsia="仿宋_GB2312" w:cs="仿宋_GB2312"/>
                <w:sz w:val="21"/>
                <w:szCs w:val="21"/>
              </w:rPr>
              <w:t>伪造、隐匿、毁灭证据或者故意协助委托人伪造、隐匿、毁灭证据</w:t>
            </w:r>
          </w:p>
        </w:tc>
        <w:tc>
          <w:tcPr>
            <w:tcW w:w="2225" w:type="dxa"/>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《基层法律服务工作者管理办法》第四十六条第一款第（十九）项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1" w:hRule="atLeast"/>
          <w:jc w:val="center"/>
        </w:trPr>
        <w:tc>
          <w:tcPr>
            <w:tcW w:w="856"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w:t>
            </w:r>
          </w:p>
        </w:tc>
        <w:tc>
          <w:tcPr>
            <w:tcW w:w="1597" w:type="dxa"/>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基层法律服务工作者</w:t>
            </w:r>
            <w:r>
              <w:rPr>
                <w:rFonts w:hint="eastAsia" w:ascii="仿宋_GB2312" w:hAnsi="仿宋_GB2312" w:eastAsia="仿宋_GB2312" w:cs="仿宋_GB2312"/>
                <w:sz w:val="21"/>
                <w:szCs w:val="21"/>
              </w:rPr>
              <w:t>向有关司法人员、仲裁员或者行政执法人员行贿、介绍贿赂，或者指使、诱导委托人向其行贿</w:t>
            </w:r>
          </w:p>
        </w:tc>
        <w:tc>
          <w:tcPr>
            <w:tcW w:w="2225" w:type="dxa"/>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《基层法律服务工作者管理办法》第四十六条第一款第（二十）项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9"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21</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基层法律服务所超越业务范围和诉讼代理执业区域</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《基层法律服务所管理办法》第三十六条第（一）项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420" w:firstLineChars="200"/>
              <w:jc w:val="both"/>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bCs/>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420" w:firstLineChars="20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jc w:val="both"/>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jc w:val="both"/>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b/>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420" w:firstLineChars="200"/>
              <w:jc w:val="both"/>
              <w:rPr>
                <w:rFonts w:hint="eastAsia" w:ascii="仿宋_GB2312" w:hAnsi="仿宋_GB2312" w:eastAsia="仿宋_GB2312" w:cs="仿宋_GB2312"/>
                <w:b/>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22</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基层法律服务所违反规定不以基层法律服务所名义统一接受委托、统一收取服务费，不向委托人出具有效收费凭证</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《基层法律服务所管理办法》第三十六条第（二）项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23</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基层法律服务所冒用律师事务所名义执业</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《基层法律服务所管理办法》第三十六条第（三）项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b/>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24</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基层法律服务所以贬损他人、抬高自己、虚假承诺或者支付介绍费等不正当手段争揽业务</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《基层法律服务所管理办法》第三十六条第（四）项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b/>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25</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基层法律服务所伪造、涂改、抵押、出租、出借本所执业证</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《基层法律服务所管理办法》第三十六条第（五）</w:t>
            </w:r>
            <w:r>
              <w:rPr>
                <w:rFonts w:hint="eastAsia" w:ascii="仿宋_GB2312" w:hAnsi="仿宋_GB2312" w:eastAsia="仿宋_GB2312" w:cs="仿宋_GB2312"/>
                <w:color w:val="auto"/>
                <w:sz w:val="21"/>
                <w:szCs w:val="21"/>
                <w:lang w:eastAsia="zh-CN"/>
              </w:rPr>
              <w:t>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b/>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8" w:hRule="atLeast"/>
          <w:jc w:val="center"/>
        </w:trPr>
        <w:tc>
          <w:tcPr>
            <w:tcW w:w="856"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w:t>
            </w:r>
          </w:p>
        </w:tc>
        <w:tc>
          <w:tcPr>
            <w:tcW w:w="1597" w:type="dxa"/>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基层法律服务所违反规定变更本所名称、法定代表人或者负责人、合伙人、住所和章程</w:t>
            </w:r>
          </w:p>
        </w:tc>
        <w:tc>
          <w:tcPr>
            <w:tcW w:w="2225" w:type="dxa"/>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《基层法律服务所管理办法》第三十六条第（六）项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27</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w:t>
            </w:r>
            <w:r>
              <w:rPr>
                <w:rFonts w:hint="eastAsia" w:ascii="仿宋_GB2312" w:hAnsi="仿宋_GB2312" w:eastAsia="仿宋_GB2312" w:cs="仿宋_GB2312"/>
                <w:sz w:val="21"/>
                <w:szCs w:val="21"/>
              </w:rPr>
              <w:t>不按规定接受年度考核，或者在年度考核中弄虚作假</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《基层法律服务所管理办法》第三十六条第（七）项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jc w:val="center"/>
        </w:trPr>
        <w:tc>
          <w:tcPr>
            <w:tcW w:w="856" w:type="dxa"/>
            <w:vMerge w:val="continue"/>
            <w:noWrap w:val="0"/>
            <w:vAlign w:val="center"/>
          </w:tcPr>
          <w:p>
            <w:pPr>
              <w:spacing w:line="280" w:lineRule="exact"/>
              <w:ind w:firstLine="0" w:firstLineChars="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0" w:firstLineChars="0"/>
              <w:jc w:val="both"/>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0" w:firstLineChars="0"/>
              <w:jc w:val="both"/>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0" w:firstLineChars="0"/>
              <w:jc w:val="both"/>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rPr>
              <w:t>发生两次本项违法行为</w:t>
            </w:r>
            <w:r>
              <w:rPr>
                <w:rFonts w:hint="eastAsia" w:ascii="仿宋_GB2312" w:hAnsi="仿宋_GB2312" w:eastAsia="仿宋_GB2312" w:cs="仿宋_GB2312"/>
                <w:color w:val="auto"/>
                <w:sz w:val="21"/>
                <w:szCs w:val="21"/>
                <w:lang w:eastAsia="zh-CN"/>
              </w:rPr>
              <w:t>；有其他较重情节。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jc w:val="center"/>
        </w:trPr>
        <w:tc>
          <w:tcPr>
            <w:tcW w:w="856" w:type="dxa"/>
            <w:vMerge w:val="continue"/>
            <w:noWrap w:val="0"/>
            <w:vAlign w:val="center"/>
          </w:tcPr>
          <w:p>
            <w:pPr>
              <w:spacing w:line="280" w:lineRule="exact"/>
              <w:ind w:firstLine="0" w:firstLineChars="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0" w:firstLineChars="0"/>
              <w:jc w:val="both"/>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0" w:firstLineChars="0"/>
              <w:jc w:val="both"/>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0" w:firstLineChars="0"/>
              <w:jc w:val="both"/>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28</w:t>
            </w:r>
          </w:p>
        </w:tc>
        <w:tc>
          <w:tcPr>
            <w:tcW w:w="1597" w:type="dxa"/>
            <w:vMerge w:val="restart"/>
            <w:noWrap w:val="0"/>
            <w:vAlign w:val="center"/>
          </w:tcPr>
          <w:p>
            <w:pPr>
              <w:pStyle w:val="4"/>
              <w:snapToGrid/>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w:t>
            </w:r>
            <w:r>
              <w:rPr>
                <w:rFonts w:hint="eastAsia" w:ascii="仿宋_GB2312" w:hAnsi="仿宋_GB2312" w:eastAsia="仿宋_GB2312" w:cs="仿宋_GB2312"/>
                <w:sz w:val="21"/>
                <w:szCs w:val="21"/>
              </w:rPr>
              <w:t>违反财务管理规定，私分、挪用或者以其他方式非法处置本所资产</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《基层法律服务所管理办法》第三十六条第（八）项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b/>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2"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29</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w:t>
            </w:r>
            <w:r>
              <w:rPr>
                <w:rFonts w:hint="eastAsia" w:ascii="仿宋_GB2312" w:hAnsi="仿宋_GB2312" w:eastAsia="仿宋_GB2312" w:cs="仿宋_GB2312"/>
                <w:sz w:val="21"/>
                <w:szCs w:val="21"/>
              </w:rPr>
              <w:t>聘用未获准基层法律服务工作者执业的人员以基层法律服务工作者名义承办业务</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《基层法律服务所管理办法》第三十六条第（九）项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3"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30</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w:t>
            </w:r>
            <w:r>
              <w:rPr>
                <w:rFonts w:hint="eastAsia" w:ascii="仿宋_GB2312" w:hAnsi="仿宋_GB2312" w:eastAsia="仿宋_GB2312" w:cs="仿宋_GB2312"/>
                <w:sz w:val="21"/>
                <w:szCs w:val="21"/>
              </w:rPr>
              <w:t>放纵、包庇本所基层法律服务工作者的违法违纪行为</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《基层法律服务所管理办法》第三十六条第（十）项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发生一人次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5"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发生两</w:t>
            </w:r>
            <w:r>
              <w:rPr>
                <w:rFonts w:hint="eastAsia" w:ascii="仿宋_GB2312" w:hAnsi="仿宋_GB2312" w:eastAsia="仿宋_GB2312" w:cs="仿宋_GB2312"/>
                <w:color w:val="auto"/>
                <w:sz w:val="21"/>
                <w:szCs w:val="21"/>
                <w:lang w:eastAsia="zh-CN"/>
              </w:rPr>
              <w:t>人</w:t>
            </w:r>
            <w:r>
              <w:rPr>
                <w:rFonts w:hint="eastAsia" w:ascii="仿宋_GB2312" w:hAnsi="仿宋_GB2312" w:eastAsia="仿宋_GB2312" w:cs="仿宋_GB2312"/>
                <w:color w:val="auto"/>
                <w:sz w:val="21"/>
                <w:szCs w:val="21"/>
              </w:rPr>
              <w:t>次本项违法行为且</w:t>
            </w:r>
            <w:r>
              <w:rPr>
                <w:rFonts w:hint="eastAsia" w:ascii="仿宋_GB2312" w:hAnsi="仿宋_GB2312" w:eastAsia="仿宋_GB2312" w:cs="仿宋_GB2312"/>
                <w:color w:val="auto"/>
                <w:sz w:val="21"/>
                <w:szCs w:val="21"/>
                <w:lang w:eastAsia="zh-CN"/>
              </w:rPr>
              <w:t>违法涉案金额三万元以下；发生一人次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且违法涉案金额超过三万元；虽然次数或违法所得未达到一般的标准，但</w:t>
            </w:r>
            <w:r>
              <w:rPr>
                <w:rFonts w:hint="eastAsia" w:ascii="仿宋_GB2312" w:hAnsi="仿宋_GB2312" w:eastAsia="仿宋_GB2312" w:cs="仿宋_GB2312"/>
                <w:color w:val="auto"/>
                <w:sz w:val="21"/>
                <w:szCs w:val="21"/>
                <w:lang w:val="en-US" w:eastAsia="zh-CN"/>
              </w:rPr>
              <w:t>发生</w:t>
            </w:r>
            <w:r>
              <w:rPr>
                <w:rFonts w:hint="eastAsia" w:ascii="仿宋_GB2312" w:hAnsi="仿宋_GB2312" w:eastAsia="仿宋_GB2312" w:cs="仿宋_GB2312"/>
                <w:color w:val="auto"/>
                <w:sz w:val="21"/>
                <w:szCs w:val="21"/>
              </w:rPr>
              <w:t>本所</w:t>
            </w:r>
            <w:r>
              <w:rPr>
                <w:rFonts w:hint="eastAsia" w:ascii="仿宋_GB2312" w:hAnsi="仿宋_GB2312" w:eastAsia="仿宋_GB2312" w:cs="仿宋_GB2312"/>
                <w:color w:val="auto"/>
                <w:sz w:val="21"/>
                <w:szCs w:val="21"/>
                <w:lang w:eastAsia="zh-CN"/>
              </w:rPr>
              <w:t>一</w:t>
            </w:r>
            <w:r>
              <w:rPr>
                <w:rFonts w:hint="eastAsia" w:ascii="仿宋_GB2312" w:hAnsi="仿宋_GB2312" w:eastAsia="仿宋_GB2312" w:cs="仿宋_GB2312"/>
                <w:color w:val="auto"/>
                <w:sz w:val="21"/>
                <w:szCs w:val="21"/>
              </w:rPr>
              <w:t>名基层法律服务工作者因违法违规执业受到行政处罚等情形</w:t>
            </w:r>
            <w:r>
              <w:rPr>
                <w:rFonts w:hint="eastAsia" w:ascii="仿宋_GB2312" w:hAnsi="仿宋_GB2312" w:eastAsia="仿宋_GB2312" w:cs="仿宋_GB2312"/>
                <w:color w:val="auto"/>
                <w:sz w:val="21"/>
                <w:szCs w:val="21"/>
                <w:lang w:eastAsia="zh-CN"/>
              </w:rPr>
              <w:t>；有其他较重情节。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三人</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；发生两人次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w:t>
            </w:r>
            <w:r>
              <w:rPr>
                <w:rFonts w:hint="eastAsia" w:ascii="仿宋_GB2312" w:hAnsi="仿宋_GB2312" w:eastAsia="仿宋_GB2312" w:cs="仿宋_GB2312"/>
                <w:color w:val="auto"/>
                <w:sz w:val="21"/>
                <w:szCs w:val="21"/>
              </w:rPr>
              <w:t>且</w:t>
            </w:r>
            <w:r>
              <w:rPr>
                <w:rFonts w:hint="eastAsia" w:ascii="仿宋_GB2312" w:hAnsi="仿宋_GB2312" w:eastAsia="仿宋_GB2312" w:cs="仿宋_GB2312"/>
                <w:color w:val="auto"/>
                <w:sz w:val="21"/>
                <w:szCs w:val="21"/>
                <w:lang w:eastAsia="zh-CN"/>
              </w:rPr>
              <w:t>违法涉案金额超过三万元；虽然次数或违法所得未达到严重的标准，但</w:t>
            </w:r>
            <w:r>
              <w:rPr>
                <w:rFonts w:hint="eastAsia" w:ascii="仿宋_GB2312" w:hAnsi="仿宋_GB2312" w:eastAsia="仿宋_GB2312" w:cs="仿宋_GB2312"/>
                <w:color w:val="auto"/>
                <w:sz w:val="21"/>
                <w:szCs w:val="21"/>
                <w:lang w:val="en-US" w:eastAsia="zh-CN"/>
              </w:rPr>
              <w:t>发生</w:t>
            </w:r>
            <w:r>
              <w:rPr>
                <w:rFonts w:hint="eastAsia" w:ascii="仿宋_GB2312" w:hAnsi="仿宋_GB2312" w:eastAsia="仿宋_GB2312" w:cs="仿宋_GB2312"/>
                <w:color w:val="auto"/>
                <w:sz w:val="21"/>
                <w:szCs w:val="21"/>
              </w:rPr>
              <w:t>本所</w:t>
            </w:r>
            <w:r>
              <w:rPr>
                <w:rFonts w:hint="eastAsia" w:ascii="仿宋_GB2312" w:hAnsi="仿宋_GB2312" w:eastAsia="仿宋_GB2312" w:cs="仿宋_GB2312"/>
                <w:color w:val="auto"/>
                <w:sz w:val="21"/>
                <w:szCs w:val="21"/>
                <w:lang w:eastAsia="zh-CN"/>
              </w:rPr>
              <w:t>二</w:t>
            </w:r>
            <w:r>
              <w:rPr>
                <w:rFonts w:hint="eastAsia" w:ascii="仿宋_GB2312" w:hAnsi="仿宋_GB2312" w:eastAsia="仿宋_GB2312" w:cs="仿宋_GB2312"/>
                <w:color w:val="auto"/>
                <w:sz w:val="21"/>
                <w:szCs w:val="21"/>
              </w:rPr>
              <w:t>名</w:t>
            </w:r>
            <w:r>
              <w:rPr>
                <w:rFonts w:hint="eastAsia" w:ascii="仿宋_GB2312" w:hAnsi="仿宋_GB2312" w:eastAsia="仿宋_GB2312" w:cs="仿宋_GB2312"/>
                <w:color w:val="auto"/>
                <w:sz w:val="21"/>
                <w:szCs w:val="21"/>
                <w:lang w:eastAsia="zh-CN"/>
              </w:rPr>
              <w:t>以上</w:t>
            </w:r>
            <w:r>
              <w:rPr>
                <w:rFonts w:hint="eastAsia" w:ascii="仿宋_GB2312" w:hAnsi="仿宋_GB2312" w:eastAsia="仿宋_GB2312" w:cs="仿宋_GB2312"/>
                <w:color w:val="auto"/>
                <w:sz w:val="21"/>
                <w:szCs w:val="21"/>
              </w:rPr>
              <w:t>基层法律服务工作者因违法违规执业受到行政处罚等情形</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856"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31</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基层法律服务所</w:t>
            </w:r>
            <w:r>
              <w:rPr>
                <w:rFonts w:hint="eastAsia" w:ascii="仿宋_GB2312" w:hAnsi="仿宋_GB2312" w:eastAsia="仿宋_GB2312" w:cs="仿宋_GB2312"/>
                <w:sz w:val="21"/>
                <w:szCs w:val="21"/>
              </w:rPr>
              <w:t>内部管理混乱，无法正常开展业务</w:t>
            </w:r>
          </w:p>
        </w:tc>
        <w:tc>
          <w:tcPr>
            <w:tcW w:w="2225" w:type="dxa"/>
            <w:vMerge w:val="restart"/>
            <w:noWrap w:val="0"/>
            <w:vAlign w:val="center"/>
          </w:tcPr>
          <w:p>
            <w:pPr>
              <w:spacing w:line="280" w:lineRule="exact"/>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《基层法律服务所管理办法》第三十六条第（十一）项</w:t>
            </w:r>
          </w:p>
        </w:tc>
        <w:tc>
          <w:tcPr>
            <w:tcW w:w="2967" w:type="dxa"/>
            <w:vMerge w:val="restart"/>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，在限期内完成整改。</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一倍以下</w:t>
            </w:r>
            <w:r>
              <w:rPr>
                <w:rFonts w:hint="eastAsia" w:ascii="仿宋_GB2312" w:hAnsi="仿宋_GB2312" w:eastAsia="仿宋_GB2312" w:cs="仿宋_GB2312"/>
                <w:color w:val="auto"/>
                <w:sz w:val="21"/>
                <w:szCs w:val="21"/>
              </w:rPr>
              <w:t>的罚款，</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，经整改，在限期内未整改到位。</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的罚款，罚款数额最高为三万元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 w:val="21"/>
                <w:szCs w:val="21"/>
              </w:rPr>
            </w:pPr>
          </w:p>
        </w:tc>
        <w:tc>
          <w:tcPr>
            <w:tcW w:w="1597" w:type="dxa"/>
            <w:vMerge w:val="continue"/>
            <w:noWrap w:val="0"/>
            <w:vAlign w:val="center"/>
          </w:tcPr>
          <w:p>
            <w:pPr>
              <w:spacing w:line="280" w:lineRule="exact"/>
              <w:ind w:firstLine="420" w:firstLineChars="200"/>
              <w:rPr>
                <w:rFonts w:hint="eastAsia" w:ascii="仿宋_GB2312" w:hAnsi="仿宋_GB2312" w:eastAsia="仿宋_GB2312" w:cs="仿宋_GB2312"/>
                <w:sz w:val="21"/>
                <w:szCs w:val="21"/>
              </w:rPr>
            </w:pPr>
          </w:p>
        </w:tc>
        <w:tc>
          <w:tcPr>
            <w:tcW w:w="2225"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2967" w:type="dxa"/>
            <w:vMerge w:val="continue"/>
            <w:noWrap w:val="0"/>
            <w:vAlign w:val="center"/>
          </w:tcPr>
          <w:p>
            <w:pPr>
              <w:spacing w:line="280" w:lineRule="exact"/>
              <w:ind w:firstLine="420" w:firstLineChars="200"/>
              <w:rPr>
                <w:rFonts w:hint="eastAsia" w:ascii="仿宋_GB2312" w:hAnsi="仿宋_GB2312" w:eastAsia="仿宋_GB2312" w:cs="仿宋_GB2312"/>
                <w:color w:val="auto"/>
                <w:sz w:val="21"/>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发生</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，逾期未整改。</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；有违法所得的，同时处违法所得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的罚款，罚款数额最高为</w:t>
            </w:r>
            <w:r>
              <w:rPr>
                <w:rFonts w:hint="eastAsia" w:ascii="仿宋_GB2312" w:hAnsi="仿宋_GB2312" w:eastAsia="仿宋_GB2312" w:cs="仿宋_GB2312"/>
                <w:color w:val="auto"/>
                <w:sz w:val="21"/>
                <w:szCs w:val="21"/>
                <w:lang w:eastAsia="zh-CN"/>
              </w:rPr>
              <w:t>三万</w:t>
            </w:r>
            <w:r>
              <w:rPr>
                <w:rFonts w:hint="eastAsia" w:ascii="仿宋_GB2312" w:hAnsi="仿宋_GB2312" w:eastAsia="仿宋_GB2312" w:cs="仿宋_GB2312"/>
                <w:color w:val="auto"/>
                <w:sz w:val="21"/>
                <w:szCs w:val="21"/>
              </w:rPr>
              <w:t>元</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856" w:type="dxa"/>
            <w:vMerge w:val="restart"/>
            <w:noWrap w:val="0"/>
            <w:vAlign w:val="center"/>
          </w:tcPr>
          <w:p>
            <w:pPr>
              <w:spacing w:line="280" w:lineRule="exact"/>
              <w:ind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32</w:t>
            </w:r>
          </w:p>
        </w:tc>
        <w:tc>
          <w:tcPr>
            <w:tcW w:w="1597" w:type="dxa"/>
            <w:vMerge w:val="restart"/>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w:t>
            </w:r>
            <w:r>
              <w:rPr>
                <w:rFonts w:hint="eastAsia" w:ascii="仿宋_GB2312" w:hAnsi="仿宋_GB2312" w:eastAsia="仿宋_GB2312" w:cs="仿宋_GB2312"/>
                <w:kern w:val="0"/>
                <w:sz w:val="21"/>
                <w:szCs w:val="21"/>
                <w:shd w:val="clear" w:color="auto" w:fill="FFFFFF"/>
              </w:rPr>
              <w:t>所无正当理由拒绝履行法律援助义务或者怠于履行法律援助义务</w:t>
            </w:r>
          </w:p>
        </w:tc>
        <w:tc>
          <w:tcPr>
            <w:tcW w:w="2225" w:type="dxa"/>
            <w:noWrap w:val="0"/>
            <w:vAlign w:val="center"/>
          </w:tcPr>
          <w:p>
            <w:pPr>
              <w:spacing w:line="280" w:lineRule="exac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《法律援助法》第六十二条第（一）项</w:t>
            </w:r>
          </w:p>
        </w:tc>
        <w:tc>
          <w:tcPr>
            <w:tcW w:w="2967" w:type="dxa"/>
            <w:noWrap w:val="0"/>
            <w:vAlign w:val="center"/>
          </w:tcPr>
          <w:p>
            <w:pPr>
              <w:spacing w:line="280" w:lineRule="exact"/>
              <w:ind w:firstLine="0" w:firstLineChars="0"/>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0"/>
                <w:sz w:val="21"/>
                <w:szCs w:val="21"/>
                <w:shd w:val="clear" w:color="auto" w:fill="FFFFFF"/>
              </w:rPr>
              <w:t>由司法行政部门依法给予处罚。</w:t>
            </w:r>
          </w:p>
        </w:tc>
        <w:tc>
          <w:tcPr>
            <w:tcW w:w="7475" w:type="dxa"/>
            <w:gridSpan w:val="2"/>
            <w:vMerge w:val="restart"/>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5"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jc w:val="both"/>
              <w:rPr>
                <w:rFonts w:hint="eastAsia" w:ascii="仿宋_GB2312" w:hAnsi="仿宋_GB2312" w:eastAsia="仿宋_GB2312" w:cs="仿宋_GB2312"/>
                <w:szCs w:val="21"/>
              </w:rPr>
            </w:pPr>
          </w:p>
        </w:tc>
        <w:tc>
          <w:tcPr>
            <w:tcW w:w="2225"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rPr>
              <w:t>《基层法律服务所管理办法》第三十六条第（十二）项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vMerge w:val="continue"/>
            <w:noWrap w:val="0"/>
            <w:vAlign w:val="center"/>
          </w:tcPr>
          <w:p>
            <w:pPr>
              <w:spacing w:line="280" w:lineRule="exact"/>
              <w:ind w:firstLine="420" w:firstLineChars="200"/>
              <w:jc w:val="both"/>
              <w:rPr>
                <w:rFonts w:hint="eastAsia"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856" w:type="dxa"/>
            <w:vMerge w:val="restart"/>
            <w:noWrap w:val="0"/>
            <w:vAlign w:val="center"/>
          </w:tcPr>
          <w:p>
            <w:pPr>
              <w:spacing w:line="280" w:lineRule="exact"/>
              <w:ind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33</w:t>
            </w:r>
          </w:p>
        </w:tc>
        <w:tc>
          <w:tcPr>
            <w:tcW w:w="1597" w:type="dxa"/>
            <w:vMerge w:val="restart"/>
            <w:noWrap w:val="0"/>
            <w:vAlign w:val="center"/>
          </w:tcPr>
          <w:p>
            <w:pPr>
              <w:spacing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w:t>
            </w:r>
            <w:r>
              <w:rPr>
                <w:rFonts w:hint="eastAsia" w:ascii="仿宋_GB2312" w:hAnsi="仿宋_GB2312" w:eastAsia="仿宋_GB2312" w:cs="仿宋_GB2312"/>
                <w:kern w:val="0"/>
                <w:sz w:val="21"/>
                <w:szCs w:val="21"/>
                <w:shd w:val="clear" w:color="auto" w:fill="FFFFFF"/>
              </w:rPr>
              <w:t>所接受指派后，不及时安排本所律师办理法律援助事项或者拒绝为本所律师办理法律援助事项提供支持和保障</w:t>
            </w:r>
          </w:p>
        </w:tc>
        <w:tc>
          <w:tcPr>
            <w:tcW w:w="2225" w:type="dxa"/>
            <w:noWrap w:val="0"/>
            <w:vAlign w:val="center"/>
          </w:tcPr>
          <w:p>
            <w:pPr>
              <w:spacing w:line="280" w:lineRule="exac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《法律援助法》第六十二条第（二）项</w:t>
            </w:r>
          </w:p>
        </w:tc>
        <w:tc>
          <w:tcPr>
            <w:tcW w:w="2967" w:type="dxa"/>
            <w:noWrap w:val="0"/>
            <w:vAlign w:val="center"/>
          </w:tcPr>
          <w:p>
            <w:pPr>
              <w:spacing w:line="280" w:lineRule="exact"/>
              <w:ind w:firstLine="0" w:firstLineChars="0"/>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0"/>
                <w:sz w:val="21"/>
                <w:szCs w:val="21"/>
                <w:shd w:val="clear" w:color="auto" w:fill="FFFFFF"/>
              </w:rPr>
              <w:t>由司法行政部门依法给予处罚。</w:t>
            </w:r>
          </w:p>
        </w:tc>
        <w:tc>
          <w:tcPr>
            <w:tcW w:w="7475" w:type="dxa"/>
            <w:gridSpan w:val="2"/>
            <w:vMerge w:val="restart"/>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rPr>
                <w:rFonts w:hint="eastAsia" w:ascii="仿宋_GB2312" w:hAnsi="仿宋_GB2312" w:eastAsia="仿宋_GB2312" w:cs="仿宋_GB2312"/>
                <w:szCs w:val="21"/>
              </w:rPr>
            </w:pPr>
          </w:p>
        </w:tc>
        <w:tc>
          <w:tcPr>
            <w:tcW w:w="2225"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《基层法律服务所管理办法》第三十六条第（十二）项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vMerge w:val="continue"/>
            <w:noWrap w:val="0"/>
            <w:vAlign w:val="center"/>
          </w:tcPr>
          <w:p>
            <w:pPr>
              <w:spacing w:line="280" w:lineRule="exact"/>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856" w:type="dxa"/>
            <w:vMerge w:val="restart"/>
            <w:noWrap w:val="0"/>
            <w:vAlign w:val="center"/>
          </w:tcPr>
          <w:p>
            <w:pPr>
              <w:spacing w:line="280" w:lineRule="exact"/>
              <w:ind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34</w:t>
            </w:r>
          </w:p>
        </w:tc>
        <w:tc>
          <w:tcPr>
            <w:tcW w:w="1597" w:type="dxa"/>
            <w:vMerge w:val="restart"/>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w:t>
            </w:r>
            <w:r>
              <w:rPr>
                <w:rFonts w:hint="eastAsia" w:ascii="仿宋_GB2312" w:hAnsi="仿宋_GB2312" w:eastAsia="仿宋_GB2312" w:cs="仿宋_GB2312"/>
                <w:sz w:val="21"/>
                <w:szCs w:val="21"/>
              </w:rPr>
              <w:t>所纵容或者放任本所律师怠于履行法律援助义务或者擅自终止提供法律援助；</w:t>
            </w:r>
          </w:p>
        </w:tc>
        <w:tc>
          <w:tcPr>
            <w:tcW w:w="2225" w:type="dxa"/>
            <w:noWrap w:val="0"/>
            <w:vAlign w:val="center"/>
          </w:tcPr>
          <w:p>
            <w:pPr>
              <w:spacing w:line="280" w:lineRule="exac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《法律援助法》第六十二条第（三）项</w:t>
            </w:r>
          </w:p>
        </w:tc>
        <w:tc>
          <w:tcPr>
            <w:tcW w:w="2967" w:type="dxa"/>
            <w:noWrap w:val="0"/>
            <w:vAlign w:val="center"/>
          </w:tcPr>
          <w:p>
            <w:pPr>
              <w:spacing w:line="280" w:lineRule="exact"/>
              <w:ind w:firstLine="0" w:firstLineChars="0"/>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0"/>
                <w:sz w:val="21"/>
                <w:szCs w:val="21"/>
                <w:shd w:val="clear" w:color="auto" w:fill="FFFFFF"/>
              </w:rPr>
              <w:t>由司法行政部门依法给予处罚。</w:t>
            </w:r>
          </w:p>
        </w:tc>
        <w:tc>
          <w:tcPr>
            <w:tcW w:w="7475" w:type="dxa"/>
            <w:gridSpan w:val="2"/>
            <w:vMerge w:val="restart"/>
            <w:noWrap w:val="0"/>
            <w:vAlign w:val="center"/>
          </w:tcPr>
          <w:p>
            <w:pPr>
              <w:spacing w:line="280" w:lineRule="exact"/>
              <w:ind w:firstLine="0" w:firstLineChars="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警告</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0" w:hRule="atLeast"/>
          <w:jc w:val="center"/>
        </w:trPr>
        <w:tc>
          <w:tcPr>
            <w:tcW w:w="856" w:type="dxa"/>
            <w:vMerge w:val="continue"/>
            <w:noWrap w:val="0"/>
            <w:vAlign w:val="center"/>
          </w:tcPr>
          <w:p>
            <w:pPr>
              <w:spacing w:line="280" w:lineRule="exact"/>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rPr>
                <w:rFonts w:hint="eastAsia" w:ascii="仿宋_GB2312" w:hAnsi="仿宋_GB2312" w:eastAsia="仿宋_GB2312" w:cs="仿宋_GB2312"/>
                <w:szCs w:val="21"/>
              </w:rPr>
            </w:pPr>
          </w:p>
        </w:tc>
        <w:tc>
          <w:tcPr>
            <w:tcW w:w="2225"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《基层法律服务所管理办法》第三十六条第（十二）项</w:t>
            </w:r>
          </w:p>
        </w:tc>
        <w:tc>
          <w:tcPr>
            <w:tcW w:w="2967"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7475" w:type="dxa"/>
            <w:gridSpan w:val="2"/>
            <w:vMerge w:val="continue"/>
            <w:noWrap w:val="0"/>
            <w:vAlign w:val="center"/>
          </w:tcPr>
          <w:p>
            <w:pPr>
              <w:spacing w:line="280" w:lineRule="exact"/>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jc w:val="center"/>
        </w:trPr>
        <w:tc>
          <w:tcPr>
            <w:tcW w:w="856" w:type="dxa"/>
            <w:noWrap w:val="0"/>
            <w:vAlign w:val="center"/>
          </w:tcPr>
          <w:p>
            <w:pPr>
              <w:spacing w:line="280" w:lineRule="exact"/>
              <w:ind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35</w:t>
            </w:r>
          </w:p>
        </w:tc>
        <w:tc>
          <w:tcPr>
            <w:tcW w:w="1597" w:type="dxa"/>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w:t>
            </w:r>
            <w:r>
              <w:rPr>
                <w:rFonts w:hint="eastAsia" w:ascii="仿宋_GB2312" w:hAnsi="仿宋_GB2312" w:eastAsia="仿宋_GB2312" w:cs="仿宋_GB2312"/>
                <w:sz w:val="21"/>
                <w:szCs w:val="21"/>
              </w:rPr>
              <w:t>工作者无正当理由拒绝履行法律援助义务或者怠于履行法律援助义务</w:t>
            </w:r>
          </w:p>
        </w:tc>
        <w:tc>
          <w:tcPr>
            <w:tcW w:w="2225" w:type="dxa"/>
            <w:noWrap w:val="0"/>
            <w:vAlign w:val="center"/>
          </w:tcPr>
          <w:p>
            <w:pPr>
              <w:spacing w:line="280" w:lineRule="exac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《法律援助法》第六十三条第（一）项</w:t>
            </w:r>
          </w:p>
        </w:tc>
        <w:tc>
          <w:tcPr>
            <w:tcW w:w="2967" w:type="dxa"/>
            <w:noWrap w:val="0"/>
            <w:vAlign w:val="center"/>
          </w:tcPr>
          <w:p>
            <w:pPr>
              <w:spacing w:line="280" w:lineRule="exact"/>
              <w:ind w:firstLine="0" w:firstLineChars="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shd w:val="clear" w:color="auto" w:fill="FFFFFF"/>
              </w:rPr>
              <w:t>由司法行政部门依法给予处罚。</w:t>
            </w:r>
          </w:p>
        </w:tc>
        <w:tc>
          <w:tcPr>
            <w:tcW w:w="7475" w:type="dxa"/>
            <w:gridSpan w:val="2"/>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结合第6项，适用《基层法律服务工作者管理办法》第四十六条第一款第（六）项进行处罚。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8" w:hRule="atLeast"/>
          <w:jc w:val="center"/>
        </w:trPr>
        <w:tc>
          <w:tcPr>
            <w:tcW w:w="856" w:type="dxa"/>
            <w:noWrap w:val="0"/>
            <w:vAlign w:val="center"/>
          </w:tcPr>
          <w:p>
            <w:pPr>
              <w:spacing w:line="280" w:lineRule="exact"/>
              <w:ind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36</w:t>
            </w:r>
          </w:p>
        </w:tc>
        <w:tc>
          <w:tcPr>
            <w:tcW w:w="1597" w:type="dxa"/>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w:t>
            </w:r>
            <w:r>
              <w:rPr>
                <w:rFonts w:hint="eastAsia" w:ascii="仿宋_GB2312" w:hAnsi="仿宋_GB2312" w:eastAsia="仿宋_GB2312" w:cs="仿宋_GB2312"/>
                <w:sz w:val="21"/>
                <w:szCs w:val="21"/>
              </w:rPr>
              <w:t>工作者擅自终止提供法律援助</w:t>
            </w:r>
          </w:p>
        </w:tc>
        <w:tc>
          <w:tcPr>
            <w:tcW w:w="2225" w:type="dxa"/>
            <w:noWrap w:val="0"/>
            <w:vAlign w:val="center"/>
          </w:tcPr>
          <w:p>
            <w:pPr>
              <w:spacing w:line="280" w:lineRule="exac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《法律援助法》第六十三条第（二）项</w:t>
            </w:r>
          </w:p>
        </w:tc>
        <w:tc>
          <w:tcPr>
            <w:tcW w:w="2967" w:type="dxa"/>
            <w:noWrap w:val="0"/>
            <w:vAlign w:val="center"/>
          </w:tcPr>
          <w:p>
            <w:pPr>
              <w:spacing w:line="280" w:lineRule="exact"/>
              <w:ind w:firstLine="0" w:firstLineChars="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shd w:val="clear" w:color="auto" w:fill="FFFFFF"/>
              </w:rPr>
              <w:t>由司法行政部门依法给予处罚。</w:t>
            </w:r>
          </w:p>
        </w:tc>
        <w:tc>
          <w:tcPr>
            <w:tcW w:w="7475" w:type="dxa"/>
            <w:gridSpan w:val="2"/>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结合第6项，适用《基层法律服务工作者管理办法》第四十六条第一款第（六）项进行处罚。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856" w:type="dxa"/>
            <w:vMerge w:val="restart"/>
            <w:noWrap w:val="0"/>
            <w:vAlign w:val="center"/>
          </w:tcPr>
          <w:p>
            <w:pPr>
              <w:spacing w:line="280" w:lineRule="exact"/>
              <w:ind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37</w:t>
            </w:r>
          </w:p>
        </w:tc>
        <w:tc>
          <w:tcPr>
            <w:tcW w:w="1597" w:type="dxa"/>
            <w:vMerge w:val="restart"/>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w:t>
            </w:r>
            <w:r>
              <w:rPr>
                <w:rFonts w:hint="eastAsia" w:ascii="仿宋_GB2312" w:hAnsi="仿宋_GB2312" w:eastAsia="仿宋_GB2312" w:cs="仿宋_GB2312"/>
                <w:sz w:val="21"/>
                <w:szCs w:val="21"/>
              </w:rPr>
              <w:t>工作者收取受援人财物</w:t>
            </w:r>
          </w:p>
        </w:tc>
        <w:tc>
          <w:tcPr>
            <w:tcW w:w="2225" w:type="dxa"/>
            <w:vMerge w:val="restart"/>
            <w:noWrap w:val="0"/>
            <w:vAlign w:val="center"/>
          </w:tcPr>
          <w:p>
            <w:pPr>
              <w:spacing w:line="280" w:lineRule="exac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《法律援助法》第六十三条第（三）项</w:t>
            </w:r>
          </w:p>
        </w:tc>
        <w:tc>
          <w:tcPr>
            <w:tcW w:w="2967" w:type="dxa"/>
            <w:vMerge w:val="restart"/>
            <w:noWrap w:val="0"/>
            <w:vAlign w:val="center"/>
          </w:tcPr>
          <w:p>
            <w:pPr>
              <w:spacing w:line="280" w:lineRule="exact"/>
              <w:ind w:firstLine="0" w:firstLineChars="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shd w:val="clear" w:color="auto" w:fill="FFFFFF"/>
              </w:rPr>
              <w:t>由司法行政部门依法给予处罚。</w:t>
            </w:r>
          </w:p>
        </w:tc>
        <w:tc>
          <w:tcPr>
            <w:tcW w:w="3652" w:type="dxa"/>
            <w:noWrap w:val="0"/>
            <w:vAlign w:val="center"/>
          </w:tcPr>
          <w:p>
            <w:pPr>
              <w:spacing w:line="280" w:lineRule="exact"/>
              <w:ind w:firstLine="0" w:firstLineChars="0"/>
              <w:jc w:val="left"/>
              <w:rPr>
                <w:rFonts w:hint="eastAsia" w:ascii="仿宋_GB2312" w:hAnsi="仿宋_GB2312" w:eastAsia="仿宋_GB2312" w:cs="仿宋_GB2312"/>
                <w:color w:val="auto"/>
                <w:kern w:val="0"/>
                <w:sz w:val="21"/>
                <w:szCs w:val="21"/>
                <w:shd w:val="clear" w:color="auto" w:fill="FFFFFF"/>
              </w:rPr>
            </w:pPr>
            <w:r>
              <w:rPr>
                <w:rFonts w:hint="eastAsia" w:ascii="仿宋_GB2312" w:hAnsi="仿宋_GB2312" w:eastAsia="仿宋_GB2312" w:cs="仿宋_GB2312"/>
                <w:color w:val="auto"/>
                <w:kern w:val="0"/>
                <w:sz w:val="21"/>
                <w:szCs w:val="21"/>
                <w:shd w:val="clear" w:color="auto" w:fill="FFFFFF"/>
                <w:lang w:eastAsia="zh-CN"/>
              </w:rPr>
              <w:t>发生一次</w:t>
            </w:r>
            <w:r>
              <w:rPr>
                <w:rFonts w:hint="eastAsia" w:ascii="仿宋_GB2312" w:hAnsi="仿宋_GB2312" w:eastAsia="仿宋_GB2312" w:cs="仿宋_GB2312"/>
                <w:color w:val="auto"/>
                <w:kern w:val="0"/>
                <w:sz w:val="21"/>
                <w:szCs w:val="21"/>
                <w:shd w:val="clear" w:color="auto" w:fill="FFFFFF"/>
              </w:rPr>
              <w:t>本项违法行为</w:t>
            </w:r>
            <w:r>
              <w:rPr>
                <w:rFonts w:hint="eastAsia" w:ascii="仿宋_GB2312" w:hAnsi="仿宋_GB2312" w:eastAsia="仿宋_GB2312" w:cs="仿宋_GB2312"/>
                <w:color w:val="auto"/>
                <w:kern w:val="0"/>
                <w:sz w:val="21"/>
                <w:szCs w:val="21"/>
                <w:shd w:val="clear" w:color="auto" w:fill="FFFFFF"/>
                <w:lang w:eastAsia="zh-CN"/>
              </w:rPr>
              <w:t>且违法涉案金额三万元以下；有其他较轻情节。</w:t>
            </w:r>
          </w:p>
        </w:tc>
        <w:tc>
          <w:tcPr>
            <w:tcW w:w="3823" w:type="dxa"/>
            <w:noWrap w:val="0"/>
            <w:vAlign w:val="center"/>
          </w:tcPr>
          <w:p>
            <w:pPr>
              <w:spacing w:line="280" w:lineRule="exact"/>
              <w:ind w:firstLine="0" w:firstLineChars="0"/>
              <w:jc w:val="left"/>
              <w:rPr>
                <w:rFonts w:hint="eastAsia" w:ascii="仿宋_GB2312" w:hAnsi="仿宋_GB2312" w:eastAsia="仿宋_GB2312" w:cs="仿宋_GB2312"/>
                <w:color w:val="auto"/>
                <w:kern w:val="0"/>
                <w:sz w:val="21"/>
                <w:szCs w:val="21"/>
                <w:shd w:val="clear" w:color="auto" w:fill="FFFFFF"/>
              </w:rPr>
            </w:pPr>
            <w:r>
              <w:rPr>
                <w:rFonts w:hint="eastAsia" w:ascii="仿宋_GB2312" w:hAnsi="仿宋_GB2312" w:eastAsia="仿宋_GB2312" w:cs="仿宋_GB2312"/>
                <w:color w:val="auto"/>
                <w:kern w:val="0"/>
                <w:sz w:val="21"/>
                <w:szCs w:val="21"/>
                <w:shd w:val="clear" w:color="auto" w:fill="FFFFFF"/>
                <w:lang w:eastAsia="zh-CN"/>
              </w:rPr>
              <w:t>警告</w:t>
            </w:r>
            <w:r>
              <w:rPr>
                <w:rFonts w:hint="eastAsia" w:ascii="仿宋_GB2312" w:hAnsi="仿宋_GB2312" w:eastAsia="仿宋_GB2312" w:cs="仿宋_GB2312"/>
                <w:color w:val="auto"/>
                <w:kern w:val="0"/>
                <w:sz w:val="21"/>
                <w:szCs w:val="21"/>
                <w:shd w:val="clear" w:color="auto" w:fill="FFFFFF"/>
              </w:rPr>
              <w:t>；有违法所得的，同时处违法所得</w:t>
            </w:r>
            <w:r>
              <w:rPr>
                <w:rFonts w:hint="eastAsia" w:ascii="仿宋_GB2312" w:hAnsi="仿宋_GB2312" w:eastAsia="仿宋_GB2312" w:cs="仿宋_GB2312"/>
                <w:color w:val="auto"/>
                <w:kern w:val="0"/>
                <w:sz w:val="21"/>
                <w:szCs w:val="21"/>
                <w:shd w:val="clear" w:color="auto" w:fill="FFFFFF"/>
                <w:lang w:eastAsia="zh-CN"/>
              </w:rPr>
              <w:t>一倍以下</w:t>
            </w:r>
            <w:r>
              <w:rPr>
                <w:rFonts w:hint="eastAsia" w:ascii="仿宋_GB2312" w:hAnsi="仿宋_GB2312" w:eastAsia="仿宋_GB2312" w:cs="仿宋_GB2312"/>
                <w:color w:val="auto"/>
                <w:kern w:val="0"/>
                <w:sz w:val="21"/>
                <w:szCs w:val="21"/>
                <w:shd w:val="clear" w:color="auto" w:fill="FFFFFF"/>
              </w:rPr>
              <w:t>的罚款，</w:t>
            </w:r>
            <w:r>
              <w:rPr>
                <w:rFonts w:hint="eastAsia" w:ascii="仿宋_GB2312" w:hAnsi="仿宋_GB2312" w:eastAsia="仿宋_GB2312" w:cs="仿宋_GB2312"/>
                <w:color w:val="auto"/>
                <w:kern w:val="0"/>
                <w:sz w:val="21"/>
                <w:szCs w:val="21"/>
                <w:shd w:val="clear" w:color="auto" w:fill="FFFFFF"/>
                <w:lang w:eastAsia="zh-CN"/>
              </w:rPr>
              <w:t>并</w:t>
            </w:r>
            <w:r>
              <w:rPr>
                <w:rFonts w:hint="eastAsia" w:ascii="仿宋_GB2312" w:hAnsi="仿宋_GB2312" w:eastAsia="仿宋_GB2312" w:cs="仿宋_GB2312"/>
                <w:color w:val="auto"/>
                <w:kern w:val="0"/>
                <w:sz w:val="21"/>
                <w:szCs w:val="21"/>
                <w:shd w:val="clear" w:color="auto" w:fill="FFFFFF"/>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856" w:type="dxa"/>
            <w:vMerge w:val="continue"/>
            <w:noWrap w:val="0"/>
            <w:vAlign w:val="center"/>
          </w:tcPr>
          <w:p>
            <w:pPr>
              <w:spacing w:line="280" w:lineRule="exact"/>
              <w:ind w:firstLine="0" w:firstLineChars="0"/>
              <w:jc w:val="both"/>
            </w:pPr>
          </w:p>
        </w:tc>
        <w:tc>
          <w:tcPr>
            <w:tcW w:w="1597" w:type="dxa"/>
            <w:vMerge w:val="continue"/>
            <w:noWrap w:val="0"/>
            <w:vAlign w:val="center"/>
          </w:tcPr>
          <w:p>
            <w:pPr>
              <w:spacing w:line="280" w:lineRule="exact"/>
              <w:ind w:firstLine="0" w:firstLineChars="0"/>
              <w:jc w:val="both"/>
            </w:pPr>
          </w:p>
        </w:tc>
        <w:tc>
          <w:tcPr>
            <w:tcW w:w="2225" w:type="dxa"/>
            <w:vMerge w:val="continue"/>
            <w:noWrap w:val="0"/>
            <w:vAlign w:val="center"/>
          </w:tcPr>
          <w:p>
            <w:pPr>
              <w:spacing w:line="280" w:lineRule="exact"/>
              <w:ind w:firstLine="0" w:firstLineChars="0"/>
              <w:jc w:val="both"/>
              <w:rPr>
                <w:color w:val="auto"/>
              </w:rPr>
            </w:pPr>
          </w:p>
        </w:tc>
        <w:tc>
          <w:tcPr>
            <w:tcW w:w="2967" w:type="dxa"/>
            <w:vMerge w:val="continue"/>
            <w:noWrap w:val="0"/>
            <w:vAlign w:val="center"/>
          </w:tcPr>
          <w:p>
            <w:pPr>
              <w:spacing w:line="280" w:lineRule="exact"/>
              <w:ind w:firstLine="0" w:firstLineChars="0"/>
              <w:jc w:val="both"/>
              <w:rPr>
                <w:color w:val="auto"/>
              </w:rPr>
            </w:pPr>
          </w:p>
        </w:tc>
        <w:tc>
          <w:tcPr>
            <w:tcW w:w="3652" w:type="dxa"/>
            <w:noWrap w:val="0"/>
            <w:vAlign w:val="center"/>
          </w:tcPr>
          <w:p>
            <w:pPr>
              <w:spacing w:line="280" w:lineRule="exact"/>
              <w:ind w:firstLine="0" w:firstLineChars="0"/>
              <w:jc w:val="left"/>
              <w:rPr>
                <w:rFonts w:hint="eastAsia" w:ascii="仿宋_GB2312" w:hAnsi="仿宋_GB2312" w:eastAsia="仿宋_GB2312" w:cs="仿宋_GB2312"/>
                <w:color w:val="auto"/>
                <w:kern w:val="0"/>
                <w:szCs w:val="21"/>
                <w:shd w:val="clear" w:color="auto" w:fill="FFFFFF"/>
              </w:rPr>
            </w:pPr>
            <w:r>
              <w:rPr>
                <w:rFonts w:hint="eastAsia" w:ascii="仿宋_GB2312" w:hAnsi="仿宋_GB2312" w:eastAsia="仿宋_GB2312" w:cs="仿宋_GB2312"/>
                <w:color w:val="auto"/>
                <w:kern w:val="0"/>
                <w:sz w:val="21"/>
                <w:szCs w:val="21"/>
                <w:shd w:val="clear" w:color="auto" w:fill="FFFFFF"/>
              </w:rPr>
              <w:t>发生两次本项违法行为且</w:t>
            </w:r>
            <w:r>
              <w:rPr>
                <w:rFonts w:hint="eastAsia" w:ascii="仿宋_GB2312" w:hAnsi="仿宋_GB2312" w:eastAsia="仿宋_GB2312" w:cs="仿宋_GB2312"/>
                <w:color w:val="auto"/>
                <w:kern w:val="0"/>
                <w:sz w:val="21"/>
                <w:szCs w:val="21"/>
                <w:shd w:val="clear" w:color="auto" w:fill="FFFFFF"/>
                <w:lang w:eastAsia="zh-CN"/>
              </w:rPr>
              <w:t>违法涉案金额三万元以下；发生一次</w:t>
            </w:r>
            <w:r>
              <w:rPr>
                <w:rFonts w:hint="eastAsia" w:ascii="仿宋_GB2312" w:hAnsi="仿宋_GB2312" w:eastAsia="仿宋_GB2312" w:cs="仿宋_GB2312"/>
                <w:color w:val="auto"/>
                <w:kern w:val="0"/>
                <w:sz w:val="21"/>
                <w:szCs w:val="21"/>
                <w:shd w:val="clear" w:color="auto" w:fill="FFFFFF"/>
              </w:rPr>
              <w:t>本项违法行为</w:t>
            </w:r>
            <w:r>
              <w:rPr>
                <w:rFonts w:hint="eastAsia" w:ascii="仿宋_GB2312" w:hAnsi="仿宋_GB2312" w:eastAsia="仿宋_GB2312" w:cs="仿宋_GB2312"/>
                <w:color w:val="auto"/>
                <w:kern w:val="0"/>
                <w:sz w:val="21"/>
                <w:szCs w:val="21"/>
                <w:shd w:val="clear" w:color="auto" w:fill="FFFFFF"/>
                <w:lang w:eastAsia="zh-CN"/>
              </w:rPr>
              <w:t>且违法所得超过三万元；有其他较重情节。</w:t>
            </w:r>
          </w:p>
        </w:tc>
        <w:tc>
          <w:tcPr>
            <w:tcW w:w="3823" w:type="dxa"/>
            <w:noWrap w:val="0"/>
            <w:vAlign w:val="center"/>
          </w:tcPr>
          <w:p>
            <w:pPr>
              <w:spacing w:line="280" w:lineRule="exact"/>
              <w:ind w:firstLine="0" w:firstLineChars="0"/>
              <w:jc w:val="left"/>
              <w:rPr>
                <w:rFonts w:hint="eastAsia" w:ascii="仿宋_GB2312" w:hAnsi="仿宋_GB2312" w:eastAsia="仿宋_GB2312" w:cs="仿宋_GB2312"/>
                <w:color w:val="auto"/>
                <w:kern w:val="0"/>
                <w:szCs w:val="21"/>
                <w:shd w:val="clear" w:color="auto" w:fill="FFFFFF"/>
              </w:rPr>
            </w:pPr>
            <w:r>
              <w:rPr>
                <w:rFonts w:hint="eastAsia" w:ascii="仿宋_GB2312" w:hAnsi="仿宋_GB2312" w:eastAsia="仿宋_GB2312" w:cs="仿宋_GB2312"/>
                <w:color w:val="auto"/>
                <w:kern w:val="0"/>
                <w:sz w:val="21"/>
                <w:szCs w:val="21"/>
                <w:shd w:val="clear" w:color="auto" w:fill="FFFFFF"/>
                <w:lang w:eastAsia="zh-CN"/>
              </w:rPr>
              <w:t>警告</w:t>
            </w:r>
            <w:r>
              <w:rPr>
                <w:rFonts w:hint="eastAsia" w:ascii="仿宋_GB2312" w:hAnsi="仿宋_GB2312" w:eastAsia="仿宋_GB2312" w:cs="仿宋_GB2312"/>
                <w:color w:val="auto"/>
                <w:kern w:val="0"/>
                <w:sz w:val="21"/>
                <w:szCs w:val="21"/>
                <w:shd w:val="clear" w:color="auto" w:fill="FFFFFF"/>
              </w:rPr>
              <w:t>；有违法所得的，同时处违法所得</w:t>
            </w:r>
            <w:r>
              <w:rPr>
                <w:rFonts w:hint="eastAsia" w:ascii="仿宋_GB2312" w:hAnsi="仿宋_GB2312" w:eastAsia="仿宋_GB2312" w:cs="仿宋_GB2312"/>
                <w:color w:val="auto"/>
                <w:kern w:val="0"/>
                <w:sz w:val="21"/>
                <w:szCs w:val="21"/>
                <w:shd w:val="clear" w:color="auto" w:fill="FFFFFF"/>
                <w:lang w:eastAsia="zh-CN"/>
              </w:rPr>
              <w:t>一倍以上（不含）二倍以下</w:t>
            </w:r>
            <w:r>
              <w:rPr>
                <w:rFonts w:hint="eastAsia" w:ascii="仿宋_GB2312" w:hAnsi="仿宋_GB2312" w:eastAsia="仿宋_GB2312" w:cs="仿宋_GB2312"/>
                <w:color w:val="auto"/>
                <w:kern w:val="0"/>
                <w:sz w:val="21"/>
                <w:szCs w:val="21"/>
                <w:shd w:val="clear" w:color="auto" w:fill="FFFFFF"/>
              </w:rPr>
              <w:t>的罚款，罚款数额最高为三万元</w:t>
            </w:r>
            <w:r>
              <w:rPr>
                <w:rFonts w:hint="eastAsia" w:ascii="仿宋_GB2312" w:hAnsi="仿宋_GB2312" w:eastAsia="仿宋_GB2312" w:cs="仿宋_GB2312"/>
                <w:color w:val="auto"/>
                <w:kern w:val="0"/>
                <w:sz w:val="21"/>
                <w:szCs w:val="21"/>
                <w:shd w:val="clear" w:color="auto" w:fill="FFFFFF"/>
                <w:lang w:eastAsia="zh-CN"/>
              </w:rPr>
              <w:t>，并</w:t>
            </w:r>
            <w:r>
              <w:rPr>
                <w:rFonts w:hint="eastAsia" w:ascii="仿宋_GB2312" w:hAnsi="仿宋_GB2312" w:eastAsia="仿宋_GB2312" w:cs="仿宋_GB2312"/>
                <w:color w:val="auto"/>
                <w:kern w:val="0"/>
                <w:sz w:val="21"/>
                <w:szCs w:val="21"/>
                <w:shd w:val="clear" w:color="auto" w:fill="FFFFFF"/>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jc w:val="center"/>
        </w:trPr>
        <w:tc>
          <w:tcPr>
            <w:tcW w:w="856" w:type="dxa"/>
            <w:vMerge w:val="continue"/>
            <w:noWrap w:val="0"/>
            <w:vAlign w:val="center"/>
          </w:tcPr>
          <w:p>
            <w:pPr>
              <w:spacing w:line="280" w:lineRule="exact"/>
              <w:ind w:firstLine="0" w:firstLineChars="0"/>
              <w:jc w:val="both"/>
            </w:pPr>
          </w:p>
        </w:tc>
        <w:tc>
          <w:tcPr>
            <w:tcW w:w="1597" w:type="dxa"/>
            <w:vMerge w:val="continue"/>
            <w:noWrap w:val="0"/>
            <w:vAlign w:val="center"/>
          </w:tcPr>
          <w:p>
            <w:pPr>
              <w:spacing w:line="280" w:lineRule="exact"/>
              <w:ind w:firstLine="0" w:firstLineChars="0"/>
              <w:jc w:val="both"/>
            </w:pPr>
          </w:p>
        </w:tc>
        <w:tc>
          <w:tcPr>
            <w:tcW w:w="2225" w:type="dxa"/>
            <w:vMerge w:val="continue"/>
            <w:noWrap w:val="0"/>
            <w:vAlign w:val="center"/>
          </w:tcPr>
          <w:p>
            <w:pPr>
              <w:spacing w:line="280" w:lineRule="exact"/>
              <w:ind w:firstLine="0" w:firstLineChars="0"/>
              <w:jc w:val="both"/>
              <w:rPr>
                <w:color w:val="auto"/>
              </w:rPr>
            </w:pPr>
          </w:p>
        </w:tc>
        <w:tc>
          <w:tcPr>
            <w:tcW w:w="2967" w:type="dxa"/>
            <w:vMerge w:val="continue"/>
            <w:noWrap w:val="0"/>
            <w:vAlign w:val="center"/>
          </w:tcPr>
          <w:p>
            <w:pPr>
              <w:spacing w:line="280" w:lineRule="exact"/>
              <w:ind w:firstLine="0" w:firstLineChars="0"/>
              <w:jc w:val="both"/>
              <w:rPr>
                <w:color w:val="auto"/>
              </w:rPr>
            </w:pPr>
          </w:p>
        </w:tc>
        <w:tc>
          <w:tcPr>
            <w:tcW w:w="3652" w:type="dxa"/>
            <w:noWrap w:val="0"/>
            <w:vAlign w:val="center"/>
          </w:tcPr>
          <w:p>
            <w:pPr>
              <w:spacing w:line="280" w:lineRule="exact"/>
              <w:ind w:firstLine="0" w:firstLineChars="0"/>
              <w:jc w:val="left"/>
              <w:rPr>
                <w:rFonts w:hint="eastAsia" w:ascii="仿宋_GB2312" w:hAnsi="仿宋_GB2312" w:eastAsia="仿宋_GB2312" w:cs="仿宋_GB2312"/>
                <w:color w:val="auto"/>
                <w:kern w:val="0"/>
                <w:szCs w:val="21"/>
                <w:shd w:val="clear" w:color="auto" w:fill="FFFFFF"/>
              </w:rPr>
            </w:pPr>
            <w:r>
              <w:rPr>
                <w:rFonts w:hint="eastAsia" w:ascii="仿宋_GB2312" w:hAnsi="仿宋_GB2312" w:eastAsia="仿宋_GB2312" w:cs="仿宋_GB2312"/>
                <w:color w:val="auto"/>
                <w:kern w:val="0"/>
                <w:sz w:val="21"/>
                <w:szCs w:val="21"/>
                <w:shd w:val="clear" w:color="auto" w:fill="FFFFFF"/>
              </w:rPr>
              <w:t>发生</w:t>
            </w:r>
            <w:r>
              <w:rPr>
                <w:rFonts w:hint="eastAsia" w:ascii="仿宋_GB2312" w:hAnsi="仿宋_GB2312" w:eastAsia="仿宋_GB2312" w:cs="仿宋_GB2312"/>
                <w:color w:val="auto"/>
                <w:kern w:val="0"/>
                <w:sz w:val="21"/>
                <w:szCs w:val="21"/>
                <w:shd w:val="clear" w:color="auto" w:fill="FFFFFF"/>
                <w:lang w:eastAsia="zh-CN"/>
              </w:rPr>
              <w:t>三</w:t>
            </w:r>
            <w:r>
              <w:rPr>
                <w:rFonts w:hint="eastAsia" w:ascii="仿宋_GB2312" w:hAnsi="仿宋_GB2312" w:eastAsia="仿宋_GB2312" w:cs="仿宋_GB2312"/>
                <w:color w:val="auto"/>
                <w:kern w:val="0"/>
                <w:sz w:val="21"/>
                <w:szCs w:val="21"/>
                <w:shd w:val="clear" w:color="auto" w:fill="FFFFFF"/>
              </w:rPr>
              <w:t>次以上本项违法行为</w:t>
            </w:r>
            <w:r>
              <w:rPr>
                <w:rFonts w:hint="eastAsia" w:ascii="仿宋_GB2312" w:hAnsi="仿宋_GB2312" w:eastAsia="仿宋_GB2312" w:cs="仿宋_GB2312"/>
                <w:color w:val="auto"/>
                <w:kern w:val="0"/>
                <w:sz w:val="21"/>
                <w:szCs w:val="21"/>
                <w:shd w:val="clear" w:color="auto" w:fill="FFFFFF"/>
                <w:lang w:eastAsia="zh-CN"/>
              </w:rPr>
              <w:t>；发生两次</w:t>
            </w:r>
            <w:r>
              <w:rPr>
                <w:rFonts w:hint="eastAsia" w:ascii="仿宋_GB2312" w:hAnsi="仿宋_GB2312" w:eastAsia="仿宋_GB2312" w:cs="仿宋_GB2312"/>
                <w:color w:val="auto"/>
                <w:kern w:val="0"/>
                <w:sz w:val="21"/>
                <w:szCs w:val="21"/>
                <w:shd w:val="clear" w:color="auto" w:fill="FFFFFF"/>
              </w:rPr>
              <w:t>本项违法行为</w:t>
            </w:r>
            <w:r>
              <w:rPr>
                <w:rFonts w:hint="eastAsia" w:ascii="仿宋_GB2312" w:hAnsi="仿宋_GB2312" w:eastAsia="仿宋_GB2312" w:cs="仿宋_GB2312"/>
                <w:color w:val="auto"/>
                <w:kern w:val="0"/>
                <w:sz w:val="21"/>
                <w:szCs w:val="21"/>
                <w:shd w:val="clear" w:color="auto" w:fill="FFFFFF"/>
                <w:lang w:eastAsia="zh-CN"/>
              </w:rPr>
              <w:t>且违法涉案金额</w:t>
            </w:r>
            <w:r>
              <w:rPr>
                <w:rFonts w:hint="eastAsia" w:ascii="仿宋_GB2312" w:hAnsi="仿宋_GB2312" w:eastAsia="仿宋_GB2312" w:cs="仿宋_GB2312"/>
                <w:b w:val="0"/>
                <w:bCs w:val="0"/>
                <w:color w:val="auto"/>
                <w:kern w:val="0"/>
                <w:sz w:val="21"/>
                <w:szCs w:val="21"/>
                <w:shd w:val="clear" w:color="auto" w:fill="FFFFFF"/>
                <w:lang w:eastAsia="zh-CN"/>
              </w:rPr>
              <w:t>超过三万元</w:t>
            </w:r>
            <w:r>
              <w:rPr>
                <w:rFonts w:hint="eastAsia" w:ascii="仿宋_GB2312" w:hAnsi="仿宋_GB2312" w:eastAsia="仿宋_GB2312" w:cs="仿宋_GB2312"/>
                <w:color w:val="auto"/>
                <w:kern w:val="0"/>
                <w:sz w:val="21"/>
                <w:szCs w:val="21"/>
                <w:shd w:val="clear" w:color="auto" w:fill="FFFFFF"/>
                <w:lang w:eastAsia="zh-CN"/>
              </w:rPr>
              <w:t>；有其他严重情节。</w:t>
            </w:r>
          </w:p>
        </w:tc>
        <w:tc>
          <w:tcPr>
            <w:tcW w:w="3823" w:type="dxa"/>
            <w:noWrap w:val="0"/>
            <w:vAlign w:val="center"/>
          </w:tcPr>
          <w:p>
            <w:pPr>
              <w:spacing w:line="280" w:lineRule="exact"/>
              <w:ind w:firstLine="0" w:firstLineChars="0"/>
              <w:jc w:val="left"/>
              <w:rPr>
                <w:rFonts w:hint="eastAsia" w:ascii="仿宋_GB2312" w:hAnsi="仿宋_GB2312" w:eastAsia="仿宋_GB2312" w:cs="仿宋_GB2312"/>
                <w:color w:val="auto"/>
                <w:kern w:val="0"/>
                <w:szCs w:val="21"/>
                <w:shd w:val="clear" w:color="auto" w:fill="FFFFFF"/>
              </w:rPr>
            </w:pPr>
            <w:r>
              <w:rPr>
                <w:rFonts w:hint="eastAsia" w:ascii="仿宋_GB2312" w:hAnsi="仿宋_GB2312" w:eastAsia="仿宋_GB2312" w:cs="仿宋_GB2312"/>
                <w:color w:val="auto"/>
                <w:kern w:val="0"/>
                <w:sz w:val="21"/>
                <w:szCs w:val="21"/>
                <w:shd w:val="clear" w:color="auto" w:fill="FFFFFF"/>
                <w:lang w:eastAsia="zh-CN"/>
              </w:rPr>
              <w:t>警告</w:t>
            </w:r>
            <w:r>
              <w:rPr>
                <w:rFonts w:hint="eastAsia" w:ascii="仿宋_GB2312" w:hAnsi="仿宋_GB2312" w:eastAsia="仿宋_GB2312" w:cs="仿宋_GB2312"/>
                <w:color w:val="auto"/>
                <w:kern w:val="0"/>
                <w:sz w:val="21"/>
                <w:szCs w:val="21"/>
                <w:shd w:val="clear" w:color="auto" w:fill="FFFFFF"/>
              </w:rPr>
              <w:t>；有违法所得的，同时处违法所得</w:t>
            </w:r>
            <w:r>
              <w:rPr>
                <w:rFonts w:hint="eastAsia" w:ascii="仿宋_GB2312" w:hAnsi="仿宋_GB2312" w:eastAsia="仿宋_GB2312" w:cs="仿宋_GB2312"/>
                <w:color w:val="auto"/>
                <w:kern w:val="0"/>
                <w:sz w:val="21"/>
                <w:szCs w:val="21"/>
                <w:shd w:val="clear" w:color="auto" w:fill="FFFFFF"/>
                <w:lang w:eastAsia="zh-CN"/>
              </w:rPr>
              <w:t>二倍以上（不含）三倍以下</w:t>
            </w:r>
            <w:r>
              <w:rPr>
                <w:rFonts w:hint="eastAsia" w:ascii="仿宋_GB2312" w:hAnsi="仿宋_GB2312" w:eastAsia="仿宋_GB2312" w:cs="仿宋_GB2312"/>
                <w:color w:val="auto"/>
                <w:kern w:val="0"/>
                <w:sz w:val="21"/>
                <w:szCs w:val="21"/>
                <w:shd w:val="clear" w:color="auto" w:fill="FFFFFF"/>
              </w:rPr>
              <w:t>的罚款，罚款数额最高为</w:t>
            </w:r>
            <w:r>
              <w:rPr>
                <w:rFonts w:hint="eastAsia" w:ascii="仿宋_GB2312" w:hAnsi="仿宋_GB2312" w:eastAsia="仿宋_GB2312" w:cs="仿宋_GB2312"/>
                <w:color w:val="auto"/>
                <w:kern w:val="0"/>
                <w:sz w:val="21"/>
                <w:szCs w:val="21"/>
                <w:shd w:val="clear" w:color="auto" w:fill="FFFFFF"/>
                <w:lang w:eastAsia="zh-CN"/>
              </w:rPr>
              <w:t>三万</w:t>
            </w:r>
            <w:r>
              <w:rPr>
                <w:rFonts w:hint="eastAsia" w:ascii="仿宋_GB2312" w:hAnsi="仿宋_GB2312" w:eastAsia="仿宋_GB2312" w:cs="仿宋_GB2312"/>
                <w:color w:val="auto"/>
                <w:kern w:val="0"/>
                <w:sz w:val="21"/>
                <w:szCs w:val="21"/>
                <w:shd w:val="clear" w:color="auto" w:fill="FFFFFF"/>
              </w:rPr>
              <w:t>元</w:t>
            </w:r>
            <w:r>
              <w:rPr>
                <w:rFonts w:hint="eastAsia" w:ascii="仿宋_GB2312" w:hAnsi="仿宋_GB2312" w:eastAsia="仿宋_GB2312" w:cs="仿宋_GB2312"/>
                <w:color w:val="auto"/>
                <w:kern w:val="0"/>
                <w:sz w:val="21"/>
                <w:szCs w:val="21"/>
                <w:shd w:val="clear" w:color="auto" w:fill="FFFFFF"/>
                <w:lang w:eastAsia="zh-CN"/>
              </w:rPr>
              <w:t>，并</w:t>
            </w:r>
            <w:r>
              <w:rPr>
                <w:rFonts w:hint="eastAsia" w:ascii="仿宋_GB2312" w:hAnsi="仿宋_GB2312" w:eastAsia="仿宋_GB2312" w:cs="仿宋_GB2312"/>
                <w:color w:val="auto"/>
                <w:kern w:val="0"/>
                <w:sz w:val="21"/>
                <w:szCs w:val="21"/>
                <w:shd w:val="clear" w:color="auto" w:fill="FFFFFF"/>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856" w:type="dxa"/>
            <w:noWrap w:val="0"/>
            <w:vAlign w:val="center"/>
          </w:tcPr>
          <w:p>
            <w:pPr>
              <w:spacing w:line="280" w:lineRule="exact"/>
              <w:ind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38</w:t>
            </w:r>
          </w:p>
        </w:tc>
        <w:tc>
          <w:tcPr>
            <w:tcW w:w="1597" w:type="dxa"/>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基层法律服务</w:t>
            </w:r>
            <w:r>
              <w:rPr>
                <w:rFonts w:hint="eastAsia" w:ascii="仿宋_GB2312" w:hAnsi="仿宋_GB2312" w:eastAsia="仿宋_GB2312" w:cs="仿宋_GB2312"/>
                <w:sz w:val="21"/>
                <w:szCs w:val="21"/>
              </w:rPr>
              <w:t>工作者泄露法律援助过程中知悉的国家秘密、商业秘密和个人隐私</w:t>
            </w:r>
          </w:p>
        </w:tc>
        <w:tc>
          <w:tcPr>
            <w:tcW w:w="2225" w:type="dxa"/>
            <w:noWrap w:val="0"/>
            <w:vAlign w:val="center"/>
          </w:tcPr>
          <w:p>
            <w:pPr>
              <w:spacing w:line="280" w:lineRule="exac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《法律援助法》第六十三条第（四）项</w:t>
            </w:r>
          </w:p>
        </w:tc>
        <w:tc>
          <w:tcPr>
            <w:tcW w:w="2967" w:type="dxa"/>
            <w:noWrap w:val="0"/>
            <w:vAlign w:val="center"/>
          </w:tcPr>
          <w:p>
            <w:pPr>
              <w:spacing w:line="280" w:lineRule="exact"/>
              <w:ind w:firstLine="0" w:firstLineChars="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shd w:val="clear" w:color="auto" w:fill="FFFFFF"/>
              </w:rPr>
              <w:t>由司法行政部门依法给予处罚。</w:t>
            </w:r>
          </w:p>
        </w:tc>
        <w:tc>
          <w:tcPr>
            <w:tcW w:w="7475" w:type="dxa"/>
            <w:gridSpan w:val="2"/>
            <w:noWrap w:val="0"/>
            <w:vAlign w:val="center"/>
          </w:tcPr>
          <w:p>
            <w:pPr>
              <w:spacing w:line="28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结合第6项，适用《基层法律服务工作者管理办法》第四十六条第一款第（六）项进行处罚。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4" w:hRule="atLeast"/>
          <w:jc w:val="center"/>
        </w:trPr>
        <w:tc>
          <w:tcPr>
            <w:tcW w:w="856" w:type="dxa"/>
            <w:vMerge w:val="restart"/>
            <w:noWrap w:val="0"/>
            <w:vAlign w:val="center"/>
          </w:tcPr>
          <w:p>
            <w:pPr>
              <w:spacing w:line="280" w:lineRule="exact"/>
              <w:ind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39</w:t>
            </w:r>
          </w:p>
        </w:tc>
        <w:tc>
          <w:tcPr>
            <w:tcW w:w="1597" w:type="dxa"/>
            <w:vMerge w:val="restart"/>
            <w:noWrap w:val="0"/>
            <w:vAlign w:val="center"/>
          </w:tcPr>
          <w:p>
            <w:pPr>
              <w:spacing w:line="280" w:lineRule="exact"/>
              <w:ind w:firstLine="0" w:firstLineChars="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冒用法律援助名义提供法律服务并谋取利益</w:t>
            </w:r>
          </w:p>
        </w:tc>
        <w:tc>
          <w:tcPr>
            <w:tcW w:w="2225" w:type="dxa"/>
            <w:vMerge w:val="restart"/>
            <w:noWrap w:val="0"/>
            <w:vAlign w:val="center"/>
          </w:tcPr>
          <w:p>
            <w:pPr>
              <w:spacing w:line="280" w:lineRule="exac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《法律援助法》第六十五条</w:t>
            </w:r>
          </w:p>
        </w:tc>
        <w:tc>
          <w:tcPr>
            <w:tcW w:w="2967" w:type="dxa"/>
            <w:vMerge w:val="restart"/>
            <w:noWrap w:val="0"/>
            <w:vAlign w:val="center"/>
          </w:tcPr>
          <w:p>
            <w:pPr>
              <w:spacing w:line="280" w:lineRule="exact"/>
              <w:ind w:firstLine="0" w:firstLineChars="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由司法行政部门责令改正，没收违法所得，并处违法所得一倍以上三倍以下罚款</w:t>
            </w: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且违法涉案金额三万元以下；有其他较轻情节。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责令改正，没收违法所得，</w:t>
            </w:r>
            <w:r>
              <w:rPr>
                <w:rFonts w:hint="eastAsia" w:ascii="仿宋_GB2312" w:hAnsi="仿宋_GB2312" w:eastAsia="仿宋_GB2312" w:cs="仿宋_GB2312"/>
                <w:color w:val="auto"/>
                <w:sz w:val="21"/>
                <w:szCs w:val="21"/>
              </w:rPr>
              <w:t>并处违法所得</w:t>
            </w:r>
            <w:r>
              <w:rPr>
                <w:rFonts w:hint="eastAsia" w:ascii="仿宋_GB2312" w:hAnsi="仿宋_GB2312" w:eastAsia="仿宋_GB2312" w:cs="仿宋_GB2312"/>
                <w:color w:val="auto"/>
                <w:sz w:val="21"/>
                <w:szCs w:val="21"/>
                <w:lang w:eastAsia="zh-CN"/>
              </w:rPr>
              <w:t>一倍</w:t>
            </w:r>
            <w:r>
              <w:rPr>
                <w:rFonts w:hint="eastAsia" w:ascii="仿宋_GB2312" w:hAnsi="仿宋_GB2312" w:eastAsia="仿宋_GB2312" w:cs="仿宋_GB2312"/>
                <w:color w:val="auto"/>
                <w:sz w:val="21"/>
                <w:szCs w:val="21"/>
              </w:rPr>
              <w:t>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7"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jc w:val="both"/>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jc w:val="both"/>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jc w:val="both"/>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rPr>
              <w:t>发生两次本项违法行为且</w:t>
            </w:r>
            <w:r>
              <w:rPr>
                <w:rFonts w:hint="eastAsia" w:ascii="仿宋_GB2312" w:hAnsi="仿宋_GB2312" w:eastAsia="仿宋_GB2312" w:cs="仿宋_GB2312"/>
                <w:color w:val="auto"/>
                <w:sz w:val="21"/>
                <w:szCs w:val="21"/>
                <w:lang w:eastAsia="zh-CN"/>
              </w:rPr>
              <w:t>违法涉案金额三万元以下；发生一次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且违法所得超过三万元；有其他较重情节。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lang w:eastAsia="zh-CN"/>
              </w:rPr>
              <w:t>责令改正，</w:t>
            </w:r>
            <w:r>
              <w:rPr>
                <w:rFonts w:hint="eastAsia" w:ascii="仿宋_GB2312" w:hAnsi="仿宋_GB2312" w:eastAsia="仿宋_GB2312" w:cs="仿宋_GB2312"/>
                <w:color w:val="auto"/>
                <w:sz w:val="21"/>
                <w:szCs w:val="21"/>
              </w:rPr>
              <w:t>没收违法所得</w:t>
            </w:r>
            <w:r>
              <w:rPr>
                <w:rFonts w:hint="eastAsia" w:ascii="仿宋_GB2312" w:hAnsi="仿宋_GB2312" w:eastAsia="仿宋_GB2312" w:cs="仿宋_GB2312"/>
                <w:color w:val="auto"/>
                <w:sz w:val="21"/>
                <w:szCs w:val="21"/>
                <w:lang w:eastAsia="zh-CN"/>
              </w:rPr>
              <w:t>，并</w:t>
            </w:r>
            <w:r>
              <w:rPr>
                <w:rFonts w:hint="eastAsia" w:ascii="仿宋_GB2312" w:hAnsi="仿宋_GB2312" w:eastAsia="仿宋_GB2312" w:cs="仿宋_GB2312"/>
                <w:color w:val="auto"/>
                <w:sz w:val="21"/>
                <w:szCs w:val="21"/>
              </w:rPr>
              <w:t>处违法所得</w:t>
            </w:r>
            <w:r>
              <w:rPr>
                <w:rFonts w:hint="eastAsia" w:ascii="仿宋_GB2312" w:hAnsi="仿宋_GB2312" w:eastAsia="仿宋_GB2312" w:cs="仿宋_GB2312"/>
                <w:color w:val="auto"/>
                <w:sz w:val="21"/>
                <w:szCs w:val="21"/>
                <w:lang w:eastAsia="zh-CN"/>
              </w:rPr>
              <w:t>一倍以上（不含）二倍以下</w:t>
            </w:r>
            <w:r>
              <w:rPr>
                <w:rFonts w:hint="eastAsia" w:ascii="仿宋_GB2312" w:hAnsi="仿宋_GB2312" w:eastAsia="仿宋_GB2312" w:cs="仿宋_GB2312"/>
                <w:color w:val="auto"/>
                <w:sz w:val="21"/>
                <w:szCs w:val="21"/>
              </w:rPr>
              <w:t>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jc w:val="center"/>
        </w:trPr>
        <w:tc>
          <w:tcPr>
            <w:tcW w:w="856" w:type="dxa"/>
            <w:vMerge w:val="continue"/>
            <w:noWrap w:val="0"/>
            <w:vAlign w:val="center"/>
          </w:tcPr>
          <w:p>
            <w:pPr>
              <w:spacing w:line="280" w:lineRule="exact"/>
              <w:ind w:firstLine="420" w:firstLineChars="200"/>
              <w:jc w:val="center"/>
              <w:rPr>
                <w:rFonts w:hint="eastAsia" w:ascii="仿宋_GB2312" w:hAnsi="仿宋_GB2312" w:eastAsia="仿宋_GB2312" w:cs="仿宋_GB2312"/>
                <w:szCs w:val="21"/>
              </w:rPr>
            </w:pPr>
          </w:p>
        </w:tc>
        <w:tc>
          <w:tcPr>
            <w:tcW w:w="1597" w:type="dxa"/>
            <w:vMerge w:val="continue"/>
            <w:noWrap w:val="0"/>
            <w:vAlign w:val="center"/>
          </w:tcPr>
          <w:p>
            <w:pPr>
              <w:spacing w:line="280" w:lineRule="exact"/>
              <w:ind w:firstLine="420" w:firstLineChars="200"/>
              <w:jc w:val="both"/>
              <w:rPr>
                <w:rFonts w:hint="eastAsia" w:ascii="仿宋_GB2312" w:hAnsi="仿宋_GB2312" w:eastAsia="仿宋_GB2312" w:cs="仿宋_GB2312"/>
                <w:szCs w:val="21"/>
              </w:rPr>
            </w:pPr>
          </w:p>
        </w:tc>
        <w:tc>
          <w:tcPr>
            <w:tcW w:w="2225" w:type="dxa"/>
            <w:vMerge w:val="continue"/>
            <w:noWrap w:val="0"/>
            <w:vAlign w:val="center"/>
          </w:tcPr>
          <w:p>
            <w:pPr>
              <w:spacing w:line="280" w:lineRule="exact"/>
              <w:ind w:firstLine="420" w:firstLineChars="200"/>
              <w:jc w:val="both"/>
              <w:rPr>
                <w:rFonts w:hint="eastAsia" w:ascii="仿宋_GB2312" w:hAnsi="仿宋_GB2312" w:eastAsia="仿宋_GB2312" w:cs="仿宋_GB2312"/>
                <w:color w:val="auto"/>
                <w:szCs w:val="21"/>
              </w:rPr>
            </w:pPr>
          </w:p>
        </w:tc>
        <w:tc>
          <w:tcPr>
            <w:tcW w:w="2967" w:type="dxa"/>
            <w:vMerge w:val="continue"/>
            <w:noWrap w:val="0"/>
            <w:vAlign w:val="center"/>
          </w:tcPr>
          <w:p>
            <w:pPr>
              <w:spacing w:line="280" w:lineRule="exact"/>
              <w:ind w:firstLine="420" w:firstLineChars="200"/>
              <w:jc w:val="both"/>
              <w:rPr>
                <w:rFonts w:hint="eastAsia" w:ascii="仿宋_GB2312" w:hAnsi="仿宋_GB2312" w:eastAsia="仿宋_GB2312" w:cs="仿宋_GB2312"/>
                <w:color w:val="auto"/>
                <w:szCs w:val="21"/>
              </w:rPr>
            </w:pPr>
          </w:p>
        </w:tc>
        <w:tc>
          <w:tcPr>
            <w:tcW w:w="3652"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rPr>
              <w:t>发生</w:t>
            </w:r>
            <w:r>
              <w:rPr>
                <w:rFonts w:hint="eastAsia" w:ascii="仿宋_GB2312" w:hAnsi="仿宋_GB2312" w:eastAsia="仿宋_GB2312" w:cs="仿宋_GB2312"/>
                <w:color w:val="auto"/>
                <w:sz w:val="21"/>
                <w:szCs w:val="21"/>
                <w:lang w:eastAsia="zh-CN"/>
              </w:rPr>
              <w:t>三</w:t>
            </w:r>
            <w:r>
              <w:rPr>
                <w:rFonts w:hint="eastAsia" w:ascii="仿宋_GB2312" w:hAnsi="仿宋_GB2312" w:eastAsia="仿宋_GB2312" w:cs="仿宋_GB2312"/>
                <w:color w:val="auto"/>
                <w:sz w:val="21"/>
                <w:szCs w:val="21"/>
              </w:rPr>
              <w:t>次以上本项违法行为</w:t>
            </w:r>
            <w:r>
              <w:rPr>
                <w:rFonts w:hint="eastAsia" w:ascii="仿宋_GB2312" w:hAnsi="仿宋_GB2312" w:eastAsia="仿宋_GB2312" w:cs="仿宋_GB2312"/>
                <w:color w:val="auto"/>
                <w:sz w:val="21"/>
                <w:szCs w:val="21"/>
                <w:lang w:eastAsia="zh-CN"/>
              </w:rPr>
              <w:t>；发生两次</w:t>
            </w:r>
            <w:r>
              <w:rPr>
                <w:rFonts w:hint="eastAsia" w:ascii="仿宋_GB2312" w:hAnsi="仿宋_GB2312" w:eastAsia="仿宋_GB2312" w:cs="仿宋_GB2312"/>
                <w:color w:val="auto"/>
                <w:sz w:val="21"/>
                <w:szCs w:val="21"/>
              </w:rPr>
              <w:t>本项违法行为</w:t>
            </w:r>
            <w:r>
              <w:rPr>
                <w:rFonts w:hint="eastAsia" w:ascii="仿宋_GB2312" w:hAnsi="仿宋_GB2312" w:eastAsia="仿宋_GB2312" w:cs="仿宋_GB2312"/>
                <w:color w:val="auto"/>
                <w:sz w:val="21"/>
                <w:szCs w:val="21"/>
                <w:lang w:eastAsia="zh-CN"/>
              </w:rPr>
              <w:t>且违法涉案金额</w:t>
            </w:r>
            <w:r>
              <w:rPr>
                <w:rFonts w:hint="eastAsia" w:ascii="仿宋_GB2312" w:hAnsi="仿宋_GB2312" w:eastAsia="仿宋_GB2312" w:cs="仿宋_GB2312"/>
                <w:b w:val="0"/>
                <w:bCs w:val="0"/>
                <w:color w:val="auto"/>
                <w:sz w:val="21"/>
                <w:szCs w:val="21"/>
                <w:lang w:eastAsia="zh-CN"/>
              </w:rPr>
              <w:t>超过三万元</w:t>
            </w:r>
            <w:r>
              <w:rPr>
                <w:rFonts w:hint="eastAsia" w:ascii="仿宋_GB2312" w:hAnsi="仿宋_GB2312" w:eastAsia="仿宋_GB2312" w:cs="仿宋_GB2312"/>
                <w:color w:val="auto"/>
                <w:sz w:val="21"/>
                <w:szCs w:val="21"/>
                <w:lang w:eastAsia="zh-CN"/>
              </w:rPr>
              <w:t>；有其他严重情节。</w:t>
            </w:r>
          </w:p>
        </w:tc>
        <w:tc>
          <w:tcPr>
            <w:tcW w:w="3823" w:type="dxa"/>
            <w:noWrap w:val="0"/>
            <w:vAlign w:val="center"/>
          </w:tcPr>
          <w:p>
            <w:pPr>
              <w:spacing w:line="280" w:lineRule="exact"/>
              <w:ind w:firstLine="0" w:firstLineChars="0"/>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21"/>
                <w:szCs w:val="21"/>
                <w:lang w:eastAsia="zh-CN"/>
              </w:rPr>
              <w:t>责令改正，</w:t>
            </w:r>
            <w:r>
              <w:rPr>
                <w:rFonts w:hint="eastAsia" w:ascii="仿宋_GB2312" w:hAnsi="仿宋_GB2312" w:eastAsia="仿宋_GB2312" w:cs="仿宋_GB2312"/>
                <w:color w:val="auto"/>
                <w:sz w:val="21"/>
                <w:szCs w:val="21"/>
              </w:rPr>
              <w:t>没收违法所得</w:t>
            </w: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并处违法所得</w:t>
            </w:r>
            <w:r>
              <w:rPr>
                <w:rFonts w:hint="eastAsia" w:ascii="仿宋_GB2312" w:hAnsi="仿宋_GB2312" w:eastAsia="仿宋_GB2312" w:cs="仿宋_GB2312"/>
                <w:color w:val="auto"/>
                <w:sz w:val="21"/>
                <w:szCs w:val="21"/>
                <w:lang w:eastAsia="zh-CN"/>
              </w:rPr>
              <w:t>二倍以上（不含）三倍以下</w:t>
            </w:r>
            <w:r>
              <w:rPr>
                <w:rFonts w:hint="eastAsia" w:ascii="仿宋_GB2312" w:hAnsi="仿宋_GB2312" w:eastAsia="仿宋_GB2312" w:cs="仿宋_GB2312"/>
                <w:color w:val="auto"/>
                <w:sz w:val="21"/>
                <w:szCs w:val="21"/>
              </w:rPr>
              <w:t>的罚款。</w:t>
            </w:r>
          </w:p>
        </w:tc>
      </w:tr>
    </w:tbl>
    <w:p>
      <w:pPr>
        <w:spacing w:line="360" w:lineRule="exact"/>
        <w:ind w:firstLine="420" w:firstLineChars="200"/>
        <w:rPr>
          <w:rFonts w:hint="eastAsia" w:ascii="仿宋_GB2312" w:hAnsi="仿宋_GB2312" w:eastAsia="仿宋_GB2312" w:cs="仿宋_GB2312"/>
          <w:sz w:val="21"/>
          <w:szCs w:val="21"/>
          <w:shd w:val="clear" w:color="auto" w:fill="FFFFFF"/>
          <w:lang w:eastAsia="zh-CN"/>
        </w:rPr>
      </w:pPr>
      <w:r>
        <w:rPr>
          <w:rFonts w:hint="eastAsia" w:ascii="仿宋_GB2312" w:hAnsi="仿宋_GB2312" w:eastAsia="仿宋_GB2312" w:cs="仿宋_GB2312"/>
          <w:sz w:val="21"/>
          <w:szCs w:val="21"/>
        </w:rPr>
        <w:t>注：</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shd w:val="clear" w:color="auto" w:fill="FFFFFF"/>
        </w:rPr>
        <w:t>对基层法律服务工作者、基层法律服务所</w:t>
      </w:r>
      <w:r>
        <w:rPr>
          <w:rFonts w:hint="eastAsia" w:ascii="仿宋_GB2312" w:hAnsi="仿宋_GB2312" w:eastAsia="仿宋_GB2312" w:cs="仿宋_GB2312"/>
          <w:sz w:val="21"/>
          <w:szCs w:val="21"/>
          <w:shd w:val="clear" w:color="auto" w:fill="FFFFFF"/>
          <w:lang w:eastAsia="zh-CN"/>
        </w:rPr>
        <w:t>违法行为</w:t>
      </w:r>
      <w:r>
        <w:rPr>
          <w:rFonts w:hint="eastAsia" w:ascii="仿宋_GB2312" w:hAnsi="仿宋_GB2312" w:eastAsia="仿宋_GB2312" w:cs="仿宋_GB2312"/>
          <w:sz w:val="21"/>
          <w:szCs w:val="21"/>
          <w:shd w:val="clear" w:color="auto" w:fill="FFFFFF"/>
        </w:rPr>
        <w:t>从轻、减轻、从重行政处罚的情形的认定，按照</w:t>
      </w:r>
      <w:r>
        <w:rPr>
          <w:rFonts w:hint="eastAsia" w:ascii="仿宋_GB2312" w:hAnsi="仿宋_GB2312" w:eastAsia="仿宋_GB2312" w:cs="仿宋_GB2312"/>
          <w:sz w:val="21"/>
          <w:szCs w:val="21"/>
          <w:shd w:val="clear" w:color="auto" w:fill="FFFFFF"/>
          <w:lang w:eastAsia="zh-CN"/>
        </w:rPr>
        <w:t>《中华人民共和国行政处罚法》</w:t>
      </w:r>
      <w:r>
        <w:rPr>
          <w:rFonts w:hint="eastAsia" w:ascii="仿宋_GB2312" w:hAnsi="仿宋_GB2312" w:eastAsia="仿宋_GB2312" w:cs="仿宋_GB2312"/>
          <w:sz w:val="21"/>
          <w:szCs w:val="21"/>
          <w:shd w:val="clear" w:color="auto" w:fill="FFFFFF"/>
        </w:rPr>
        <w:t>《浙江省司法行政机关规范行政处罚自由裁量权指导意见（试行）》等执行</w:t>
      </w:r>
      <w:r>
        <w:rPr>
          <w:rFonts w:hint="eastAsia" w:ascii="仿宋_GB2312" w:hAnsi="仿宋_GB2312" w:eastAsia="仿宋_GB2312" w:cs="仿宋_GB2312"/>
          <w:sz w:val="21"/>
          <w:szCs w:val="21"/>
          <w:shd w:val="clear" w:color="auto" w:fill="FFFFFF"/>
          <w:lang w:eastAsia="zh-CN"/>
        </w:rPr>
        <w:t>；</w:t>
      </w:r>
    </w:p>
    <w:p>
      <w:pPr>
        <w:spacing w:line="360" w:lineRule="exact"/>
        <w:ind w:left="420" w:firstLine="420" w:firstLineChars="200"/>
        <w:rPr>
          <w:rFonts w:hint="eastAsia" w:ascii="仿宋_GB2312" w:hAnsi="仿宋_GB2312" w:eastAsia="仿宋_GB2312" w:cs="仿宋_GB2312"/>
          <w:sz w:val="21"/>
          <w:szCs w:val="21"/>
          <w:shd w:val="clear" w:color="auto" w:fill="FFFFFF"/>
          <w:lang w:val="en-US" w:eastAsia="zh-CN"/>
        </w:rPr>
      </w:pPr>
      <w:r>
        <w:rPr>
          <w:rFonts w:hint="eastAsia" w:ascii="仿宋_GB2312" w:hAnsi="仿宋_GB2312" w:eastAsia="仿宋_GB2312" w:cs="仿宋_GB2312"/>
          <w:sz w:val="21"/>
          <w:szCs w:val="21"/>
          <w:shd w:val="clear" w:color="auto" w:fill="FFFFFF"/>
          <w:lang w:val="en-US" w:eastAsia="zh-CN"/>
        </w:rPr>
        <w:t xml:space="preserve"> 2.除文中特别注明外，本裁量基准所称的“以上”“以下”均包含本数；</w:t>
      </w:r>
    </w:p>
    <w:p>
      <w:pPr>
        <w:spacing w:line="360" w:lineRule="exact"/>
        <w:ind w:left="420" w:firstLine="420" w:firstLineChars="0"/>
        <w:rPr>
          <w:rFonts w:hint="eastAsia" w:ascii="仿宋_GB2312" w:hAnsi="仿宋_GB2312" w:eastAsia="仿宋_GB2312" w:cs="仿宋_GB2312"/>
          <w:sz w:val="21"/>
          <w:szCs w:val="21"/>
          <w:shd w:val="clear" w:color="auto" w:fill="FFFFFF"/>
        </w:rPr>
      </w:pPr>
      <w:r>
        <w:rPr>
          <w:rFonts w:hint="eastAsia" w:ascii="仿宋_GB2312" w:hAnsi="仿宋_GB2312" w:eastAsia="仿宋_GB2312" w:cs="仿宋_GB2312"/>
          <w:sz w:val="21"/>
          <w:szCs w:val="21"/>
          <w:shd w:val="clear" w:color="auto" w:fill="FFFFFF"/>
          <w:lang w:val="en-US" w:eastAsia="zh-CN"/>
        </w:rPr>
        <w:t>3.</w:t>
      </w:r>
      <w:r>
        <w:rPr>
          <w:rFonts w:hint="eastAsia" w:ascii="仿宋_GB2312" w:hAnsi="仿宋_GB2312" w:eastAsia="仿宋_GB2312" w:cs="仿宋_GB2312"/>
          <w:sz w:val="21"/>
          <w:szCs w:val="21"/>
          <w:shd w:val="clear" w:color="auto" w:fill="FFFFFF"/>
        </w:rPr>
        <w:t>若本裁量基准与新颁布实施的法律、法规和规章不相一致的，以新颁布实施的法律、法规和规章规定为准。</w:t>
      </w:r>
    </w:p>
    <w:p>
      <w:pPr>
        <w:spacing w:line="360" w:lineRule="exact"/>
        <w:ind w:firstLine="840" w:firstLineChars="400"/>
        <w:rPr>
          <w:rFonts w:hint="eastAsia" w:ascii="仿宋_GB2312" w:hAnsi="仿宋_GB2312" w:eastAsia="仿宋_GB2312" w:cs="仿宋_GB2312"/>
          <w:sz w:val="21"/>
          <w:szCs w:val="21"/>
          <w:shd w:val="clear" w:color="auto" w:fill="FFFFFF"/>
        </w:rPr>
      </w:pPr>
    </w:p>
    <w:p/>
    <w:sectPr>
      <w:headerReference r:id="rId3" w:type="default"/>
      <w:footerReference r:id="rId4" w:type="default"/>
      <w:pgSz w:w="16838" w:h="11906" w:orient="landscape"/>
      <w:pgMar w:top="1440" w:right="1080" w:bottom="1440" w:left="108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Liberation Sans">
    <w:altName w:val="思源宋体"/>
    <w:panose1 w:val="00000000000000000000"/>
    <w:charset w:val="00"/>
    <w:family w:val="swiss"/>
    <w:pitch w:val="default"/>
    <w:sig w:usb0="00000000" w:usb1="00000000" w:usb2="00000000" w:usb3="00000000" w:csb0="00040001" w:csb1="00000000"/>
  </w:font>
  <w:font w:name="思源宋体">
    <w:panose1 w:val="02020400000000000000"/>
    <w:charset w:val="86"/>
    <w:family w:val="auto"/>
    <w:pitch w:val="default"/>
    <w:sig w:usb0="30000083" w:usb1="2BDF3C10" w:usb2="00000016" w:usb3="00000000" w:csb0="602E0107" w:csb1="00000000"/>
  </w:font>
  <w:font w:name="Noto Sans CJK SC Regular">
    <w:panose1 w:val="020B0500000000000000"/>
    <w:charset w:val="86"/>
    <w:family w:val="auto"/>
    <w:pitch w:val="default"/>
    <w:sig w:usb0="30000003" w:usb1="2BDF3C10" w:usb2="00000016" w:usb3="00000000" w:csb0="602E0107" w:csb1="00000000"/>
  </w:font>
  <w:font w:name="Verdana">
    <w:altName w:val="DejaVu Sans"/>
    <w:panose1 w:val="020B0604030504040204"/>
    <w:charset w:val="00"/>
    <w:family w:val="swiss"/>
    <w:pitch w:val="default"/>
    <w:sig w:usb0="00000000" w:usb1="00000000" w:usb2="00000010" w:usb3="00000000" w:csb0="2000019F" w:csb1="00000000"/>
  </w:font>
  <w:font w:name="黑体">
    <w:altName w:val="方正黑体_GBK"/>
    <w:panose1 w:val="02010609060101010101"/>
    <w:charset w:val="00"/>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9"/>
                            </w:rPr>
                          </w:pPr>
                          <w:r>
                            <w:fldChar w:fldCharType="begin"/>
                          </w:r>
                          <w:r>
                            <w:rPr>
                              <w:rStyle w:val="9"/>
                            </w:rPr>
                            <w:instrText xml:space="preserve">PAGE  </w:instrText>
                          </w:r>
                          <w:r>
                            <w:fldChar w:fldCharType="separate"/>
                          </w:r>
                          <w:r>
                            <w:rPr>
                              <w:rStyle w:val="9"/>
                            </w:rPr>
                            <w:t>18</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">
              <v:fill on="f" focussize="0,0"/>
              <v:stroke on="f"/>
              <v:imagedata o:title=""/>
              <o:lock v:ext="edit" aspectratio="f"/>
              <v:textbox inset="0mm,0mm,0mm,0mm" style="mso-fit-shape-to-text:t;">
                <w:txbxContent>
                  <w:p>
                    <w:pPr>
                      <w:pStyle w:val="4"/>
                      <w:rPr>
                        <w:rStyle w:val="9"/>
                      </w:rPr>
                    </w:pPr>
                    <w:r>
                      <w:fldChar w:fldCharType="begin"/>
                    </w:r>
                    <w:r>
                      <w:rPr>
                        <w:rStyle w:val="9"/>
                      </w:rPr>
                      <w:instrText xml:space="preserve">PAGE  </w:instrText>
                    </w:r>
                    <w:r>
                      <w:fldChar w:fldCharType="separate"/>
                    </w:r>
                    <w:r>
                      <w:rPr>
                        <w:rStyle w:val="9"/>
                      </w:rP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0"/>
  <w:displayVerticalDrawingGridEvery w:val="0"/>
  <w:doNotUseMarginsForDrawingGridOrigin w:val="1"/>
  <w:drawingGridHorizontalOrigin w:val="0"/>
  <w:drawingGridVerticalOrigin w:val="0"/>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B721B7"/>
    <w:rsid w:val="9CB6380F"/>
    <w:rsid w:val="F5F3CE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8">
    <w:name w:val="Default Paragraph Font"/>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styleId="2">
    <w:name w:val="caption"/>
    <w:basedOn w:val="1"/>
    <w:uiPriority w:val="0"/>
    <w:pPr>
      <w:widowControl w:val="0"/>
      <w:suppressLineNumbers/>
      <w:suppressAutoHyphens/>
      <w:spacing w:before="120" w:after="120"/>
    </w:pPr>
    <w:rPr>
      <w:i/>
      <w:iCs/>
      <w:sz w:val="24"/>
      <w:szCs w:val="24"/>
    </w:rPr>
  </w:style>
  <w:style w:type="paragraph" w:styleId="3">
    <w:name w:val="Body Text"/>
    <w:basedOn w:val="1"/>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w:basedOn w:val="3"/>
    <w:uiPriority w:val="0"/>
  </w:style>
  <w:style w:type="character" w:styleId="9">
    <w:name w:val="page number"/>
    <w:basedOn w:val="8"/>
    <w:qFormat/>
    <w:uiPriority w:val="0"/>
  </w:style>
  <w:style w:type="character" w:customStyle="1" w:styleId="10">
    <w:name w:val="默认段落字体1"/>
    <w:uiPriority w:val="0"/>
  </w:style>
  <w:style w:type="paragraph" w:customStyle="1" w:styleId="11">
    <w:name w:val="Heading"/>
    <w:basedOn w:val="1"/>
    <w:next w:val="3"/>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2">
    <w:name w:val="Index"/>
    <w:basedOn w:val="1"/>
    <w:uiPriority w:val="0"/>
    <w:pPr>
      <w:widowControl w:val="0"/>
      <w:suppressLineNumbers/>
      <w:suppressAutoHyphens/>
    </w:pPr>
  </w:style>
  <w:style w:type="paragraph" w:customStyle="1" w:styleId="13">
    <w:name w:val="_Style 4"/>
    <w:basedOn w:val="1"/>
    <w:qFormat/>
    <w:uiPriority w:val="0"/>
    <w:pPr>
      <w:widowControl/>
      <w:spacing w:after="160" w:line="240" w:lineRule="exact"/>
      <w:jc w:val="left"/>
    </w:pPr>
    <w:rPr>
      <w:rFonts w:ascii="Verdana" w:hAnsi="Verdana"/>
      <w:kern w:val="0"/>
      <w:sz w:val="20"/>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2018-11-27T17:47:00Z</dcterms:created>
  <dc:creator>tftf</dc:creator>
  <cp:lastModifiedBy>user</cp:lastModifiedBy>
  <dcterms:modified xsi:type="dcterms:W3CDTF">2025-05-08T14:34:44Z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ICV">
    <vt:lpwstr>8E1DF3EEA458A16484501C68C56EA648</vt:lpwstr>
  </property>
</Properties>
</file>