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autoSpaceDE w:val="0"/>
        <w:spacing w:line="560" w:lineRule="exact"/>
        <w:jc w:val="center"/>
        <w:rPr>
          <w:rFonts w:ascii="方正小标宋简体" w:eastAsia="方正小标宋简体"/>
          <w:bCs/>
          <w:color w:val="000000"/>
          <w:spacing w:val="-11"/>
          <w:sz w:val="36"/>
          <w:szCs w:val="36"/>
        </w:rPr>
      </w:pPr>
      <w:r>
        <w:rPr>
          <w:rFonts w:hint="eastAsia" w:ascii="方正小标宋简体" w:eastAsia="方正小标宋简体"/>
          <w:bCs/>
          <w:color w:val="000000"/>
          <w:spacing w:val="-11"/>
          <w:sz w:val="36"/>
          <w:szCs w:val="36"/>
        </w:rPr>
        <w:t>柴桥街道办事处</w:t>
      </w:r>
    </w:p>
    <w:p>
      <w:pPr>
        <w:pStyle w:val="2"/>
        <w:autoSpaceDE w:val="0"/>
        <w:spacing w:line="560" w:lineRule="exact"/>
        <w:jc w:val="center"/>
        <w:rPr>
          <w:rFonts w:hint="eastAsia" w:ascii="方正小标宋简体" w:eastAsia="方正小标宋简体"/>
          <w:bCs/>
          <w:color w:val="000000"/>
          <w:spacing w:val="-11"/>
          <w:sz w:val="36"/>
          <w:szCs w:val="36"/>
        </w:rPr>
      </w:pPr>
      <w:r>
        <w:rPr>
          <w:rFonts w:hint="eastAsia" w:ascii="方正小标宋简体" w:eastAsia="方正小标宋简体"/>
          <w:bCs/>
          <w:color w:val="000000"/>
          <w:spacing w:val="-11"/>
          <w:sz w:val="36"/>
          <w:szCs w:val="36"/>
        </w:rPr>
        <w:t>2024年度政府信息公开工作年度报告</w:t>
      </w:r>
    </w:p>
    <w:p>
      <w:pPr>
        <w:pStyle w:val="2"/>
        <w:autoSpaceDE w:val="0"/>
        <w:spacing w:line="480" w:lineRule="exact"/>
        <w:jc w:val="both"/>
        <w:rPr>
          <w:rFonts w:hint="eastAsia" w:ascii="楷体_GB2312" w:hAnsi="仿宋" w:eastAsia="楷体_GB2312"/>
          <w:color w:val="333333"/>
          <w:sz w:val="32"/>
          <w:szCs w:val="32"/>
          <w:shd w:val="clear" w:color="auto" w:fill="FFFFFF"/>
        </w:rPr>
      </w:pPr>
      <w:r>
        <w:rPr>
          <w:rFonts w:hint="eastAsia" w:ascii="楷体_GB2312" w:hAnsi="仿宋" w:eastAsia="楷体_GB2312"/>
          <w:color w:val="333333"/>
          <w:sz w:val="32"/>
          <w:szCs w:val="32"/>
          <w:shd w:val="clear" w:color="auto" w:fill="FFFFFF"/>
        </w:rPr>
        <w:t xml:space="preserve"> </w:t>
      </w:r>
    </w:p>
    <w:p>
      <w:pPr>
        <w:pStyle w:val="2"/>
        <w:autoSpaceDE w:val="0"/>
        <w:spacing w:line="560" w:lineRule="exact"/>
        <w:ind w:firstLine="420"/>
        <w:jc w:val="both"/>
        <w:rPr>
          <w:rFonts w:hint="eastAsia" w:ascii="楷体_GB2312" w:hAnsi="仿宋" w:eastAsia="楷体_GB2312"/>
          <w:color w:val="333333"/>
          <w:sz w:val="32"/>
          <w:szCs w:val="32"/>
          <w:shd w:val="clear" w:color="auto" w:fill="FFFFFF"/>
        </w:rPr>
      </w:pPr>
      <w:r>
        <w:rPr>
          <w:rFonts w:hint="eastAsia" w:ascii="仿宋" w:hAnsi="仿宋" w:eastAsia="仿宋"/>
          <w:color w:val="333333"/>
          <w:sz w:val="32"/>
          <w:szCs w:val="32"/>
          <w:shd w:val="clear" w:color="auto" w:fill="FFFFFF"/>
        </w:rPr>
        <w:t xml:space="preserve"> </w:t>
      </w:r>
      <w:r>
        <w:rPr>
          <w:rFonts w:hint="eastAsia" w:ascii="楷体_GB2312" w:hAnsi="仿宋" w:eastAsia="楷体_GB2312"/>
          <w:color w:val="333333"/>
          <w:sz w:val="32"/>
          <w:szCs w:val="32"/>
          <w:shd w:val="clear" w:color="auto" w:fill="FFFFFF"/>
        </w:rPr>
        <w:t>编制说明：本报告是根据《中华人民共和国政府信息公开条例》（国务院令第711号）和《国务院办公厅政府信息与政务公开办公室关于政府信息公开工作年度报告有关事项的通知》（国办公开办函〔2019〕60号）、国务院办公厅政府信息与政务公开办公室关于印发《中华人民共和国政府信息公开工作年度报告格式》的通知（国办公开办函〔2021〕30号）文件要求编制。全文包含总体情况、主动公开政府信息情况、收到和处理政府信息公开申请情况、因政府信息公开工作被申请行政复议、提起行政诉讼情况、政府信息公开工作存在的主要问题及改进情况、其他需要报告的事项六个方面。本报告所列数据的统计期限自2024年1月1日起至12月31日止。</w:t>
      </w:r>
    </w:p>
    <w:p>
      <w:pPr>
        <w:pStyle w:val="2"/>
        <w:autoSpaceDE w:val="0"/>
        <w:spacing w:line="560" w:lineRule="exact"/>
        <w:ind w:firstLine="420"/>
        <w:jc w:val="both"/>
        <w:rPr>
          <w:rFonts w:hint="eastAsia" w:ascii="黑体" w:hAnsi="黑体" w:eastAsia="黑体"/>
          <w:bCs/>
          <w:color w:val="000000"/>
          <w:sz w:val="32"/>
          <w:szCs w:val="32"/>
        </w:rPr>
      </w:pPr>
      <w:r>
        <w:rPr>
          <w:rFonts w:hint="eastAsia" w:ascii="黑体" w:hAnsi="黑体" w:eastAsia="黑体"/>
          <w:bCs/>
          <w:color w:val="000000"/>
          <w:sz w:val="32"/>
          <w:szCs w:val="32"/>
        </w:rPr>
        <w:t>一、总体情况</w:t>
      </w:r>
    </w:p>
    <w:p>
      <w:pPr>
        <w:pStyle w:val="2"/>
        <w:shd w:val="clear" w:color="auto" w:fill="FFFFFF"/>
        <w:autoSpaceDE w:val="0"/>
        <w:spacing w:before="130" w:after="130" w:line="576" w:lineRule="exact"/>
        <w:ind w:firstLine="640" w:firstLineChars="200"/>
        <w:jc w:val="both"/>
        <w:textAlignment w:val="center"/>
        <w:rPr>
          <w:rFonts w:hint="eastAsia" w:ascii="仿宋_GB2312" w:eastAsia="仿宋_GB2312"/>
          <w:color w:val="333333"/>
          <w:sz w:val="32"/>
          <w:szCs w:val="32"/>
          <w:shd w:val="clear" w:color="auto" w:fill="FFFFFF"/>
        </w:rPr>
      </w:pPr>
      <w:r>
        <w:rPr>
          <w:rFonts w:hint="eastAsia" w:ascii="楷体_GB2312" w:eastAsia="楷体_GB2312"/>
          <w:color w:val="333333"/>
          <w:sz w:val="32"/>
          <w:szCs w:val="32"/>
          <w:shd w:val="clear" w:color="auto" w:fill="FFFFFF"/>
        </w:rPr>
        <w:t>（一）聚焦重点领域，提升公开质效。</w:t>
      </w:r>
      <w:r>
        <w:rPr>
          <w:rFonts w:hint="eastAsia" w:ascii="仿宋_GB2312" w:eastAsia="仿宋_GB2312"/>
          <w:color w:val="333333"/>
          <w:sz w:val="32"/>
          <w:szCs w:val="32"/>
          <w:shd w:val="clear" w:color="auto" w:fill="FFFFFF"/>
        </w:rPr>
        <w:t>本年度，柴桥街道通过北仑区政府网站发布政务信息70余条，依法主动公开各类规划、财政预算决算等方面信息10余条，主动公开年度工作总结和次年工作计划，集中发布招投标等重要文件；拓宽信息发布渠道，重点围绕“六促六优”等中心工作开展信息公开，及时通过政府网站、政务新媒体、政务服务平台等渠道公开重要政策，准确传递权威信息和政策意图；认真做好人大代表建议和政协提案办理结果公开，通过网站专栏集中公开政府系统承办的建议、提案及答复。</w:t>
      </w:r>
    </w:p>
    <w:p>
      <w:pPr>
        <w:pStyle w:val="2"/>
        <w:shd w:val="clear" w:color="auto" w:fill="FFFFFF"/>
        <w:autoSpaceDE w:val="0"/>
        <w:spacing w:before="130" w:after="130" w:line="576" w:lineRule="exact"/>
        <w:ind w:firstLine="640" w:firstLineChars="200"/>
        <w:jc w:val="both"/>
        <w:textAlignment w:val="center"/>
        <w:rPr>
          <w:rFonts w:hint="eastAsia" w:ascii="仿宋_GB2312" w:eastAsia="仿宋_GB2312"/>
          <w:color w:val="333333"/>
          <w:sz w:val="32"/>
          <w:szCs w:val="32"/>
          <w:shd w:val="clear" w:color="auto" w:fill="FFFFFF"/>
        </w:rPr>
      </w:pPr>
      <w:r>
        <w:rPr>
          <w:rFonts w:hint="eastAsia" w:ascii="楷体_GB2312" w:eastAsia="楷体_GB2312"/>
          <w:color w:val="333333"/>
          <w:sz w:val="32"/>
          <w:szCs w:val="32"/>
          <w:shd w:val="clear" w:color="auto" w:fill="FFFFFF"/>
        </w:rPr>
        <w:t>（二）优化平台维护，强化信息管理。</w:t>
      </w:r>
      <w:r>
        <w:rPr>
          <w:rFonts w:hint="eastAsia" w:ascii="仿宋_GB2312" w:eastAsia="仿宋_GB2312"/>
          <w:color w:val="333333"/>
          <w:sz w:val="32"/>
          <w:szCs w:val="32"/>
          <w:shd w:val="clear" w:color="auto" w:fill="FFFFFF"/>
        </w:rPr>
        <w:t>及时更新网站信息，发布政务动态，并根据《中华人民共和国政府信息公开条例》（国务院令第711号），进一步完善政府文件公开审查制度，对已经发布的信息认真回头自查，定期清理、调整已公开信息，确保信息发布内容的准确；提高发布内容的质量，评估审查前期未主动公开的政府信息，对每一条新发布内容进行精细化审核。严格按照《中华人民共和国政府信息公开条例》的要求，规范依申请公开办理流程。对申请人提出的信息公开申请，及时进行登记、审核，并在规定时间内予以答复。</w:t>
      </w:r>
    </w:p>
    <w:p>
      <w:pPr>
        <w:pStyle w:val="2"/>
        <w:shd w:val="clear" w:color="auto" w:fill="FFFFFF"/>
        <w:autoSpaceDE w:val="0"/>
        <w:spacing w:before="130" w:after="130" w:line="576" w:lineRule="exact"/>
        <w:ind w:firstLine="640" w:firstLineChars="200"/>
        <w:jc w:val="both"/>
        <w:textAlignment w:val="center"/>
        <w:rPr>
          <w:rFonts w:hint="eastAsia" w:ascii="仿宋_GB2312" w:eastAsia="仿宋_GB2312"/>
          <w:color w:val="333333"/>
          <w:sz w:val="32"/>
          <w:szCs w:val="32"/>
          <w:shd w:val="clear" w:color="auto" w:fill="FFFFFF"/>
        </w:rPr>
      </w:pPr>
      <w:r>
        <w:rPr>
          <w:rFonts w:hint="eastAsia" w:ascii="楷体_GB2312" w:eastAsia="楷体_GB2312"/>
          <w:color w:val="333333"/>
          <w:sz w:val="32"/>
          <w:szCs w:val="32"/>
          <w:shd w:val="clear" w:color="auto" w:fill="FFFFFF"/>
        </w:rPr>
        <w:t>（三）完善制度保障，加强常态监管。街道主职主责</w:t>
      </w:r>
      <w:r>
        <w:rPr>
          <w:rFonts w:hint="eastAsia" w:ascii="仿宋_GB2312" w:eastAsia="仿宋_GB2312"/>
          <w:color w:val="333333"/>
          <w:sz w:val="32"/>
          <w:szCs w:val="32"/>
          <w:shd w:val="clear" w:color="auto" w:fill="FFFFFF"/>
        </w:rPr>
        <w:t>负责信息公开事务的对接、审核和发布，积极参加区政府信息公开培训2次，组织开展政务公开在线培训2场，提高工作人员业务能力，并以街心公园集市平台，多次开展政务公开宣传；形成主要领导统筹推动、分管领导紧盯紧抓、相关部门各负其责的政务公开工作运行机制；坚持督查增效，建立常态化监管机制，将区里每月监测情况，作为对政务公开工作人员考核的重要指标。</w:t>
      </w:r>
    </w:p>
    <w:p>
      <w:pPr>
        <w:pStyle w:val="2"/>
        <w:spacing w:line="432" w:lineRule="auto"/>
        <w:ind w:firstLine="640" w:firstLineChars="200"/>
        <w:jc w:val="both"/>
        <w:rPr>
          <w:rFonts w:hint="eastAsia" w:ascii="黑体" w:hAnsi="黑体" w:eastAsia="黑体"/>
          <w:bCs/>
          <w:color w:val="333333"/>
          <w:sz w:val="32"/>
          <w:szCs w:val="32"/>
        </w:rPr>
      </w:pPr>
      <w:r>
        <w:rPr>
          <w:rFonts w:hint="eastAsia" w:ascii="黑体" w:hAnsi="黑体" w:eastAsia="黑体"/>
          <w:bCs/>
          <w:color w:val="333333"/>
          <w:sz w:val="32"/>
          <w:szCs w:val="32"/>
        </w:rPr>
        <w:t>二、主动公开政府信息情况</w:t>
      </w:r>
    </w:p>
    <w:tbl>
      <w:tblPr>
        <w:tblStyle w:val="3"/>
        <w:tblW w:w="0" w:type="auto"/>
        <w:tblInd w:w="-36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77"/>
        <w:gridCol w:w="2492"/>
        <w:gridCol w:w="2268"/>
        <w:gridCol w:w="22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45" w:type="dxa"/>
            <w:gridSpan w:val="4"/>
            <w:tcBorders>
              <w:top w:val="single" w:color="auto" w:sz="4" w:space="0"/>
              <w:left w:val="single" w:color="auto" w:sz="4" w:space="0"/>
              <w:bottom w:val="single" w:color="auto" w:sz="4" w:space="0"/>
              <w:right w:val="single" w:color="auto" w:sz="4" w:space="0"/>
            </w:tcBorders>
          </w:tcPr>
          <w:p>
            <w:pPr>
              <w:widowControl w:val="0"/>
              <w:autoSpaceDE w:val="0"/>
              <w:spacing w:line="400" w:lineRule="exact"/>
              <w:jc w:val="center"/>
              <w:rPr>
                <w:rFonts w:ascii="黑体" w:hAnsi="黑体" w:eastAsia="黑体"/>
                <w:sz w:val="24"/>
                <w:szCs w:val="24"/>
              </w:rPr>
            </w:pPr>
            <w:r>
              <w:rPr>
                <w:rFonts w:hint="eastAsia" w:ascii="黑体" w:hAnsi="黑体" w:eastAsia="黑体"/>
                <w:sz w:val="24"/>
                <w:szCs w:val="24"/>
              </w:rPr>
              <w:t>第二十条第（一）项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7"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黑体" w:hAnsi="黑体" w:eastAsia="黑体"/>
                <w:sz w:val="24"/>
                <w:szCs w:val="24"/>
              </w:rPr>
            </w:pPr>
            <w:r>
              <w:rPr>
                <w:rFonts w:hint="eastAsia" w:ascii="黑体" w:hAnsi="黑体" w:eastAsia="黑体"/>
                <w:sz w:val="24"/>
                <w:szCs w:val="24"/>
              </w:rPr>
              <w:t>信息内容</w:t>
            </w:r>
          </w:p>
        </w:tc>
        <w:tc>
          <w:tcPr>
            <w:tcW w:w="2492"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黑体" w:hAnsi="黑体" w:eastAsia="黑体"/>
                <w:sz w:val="24"/>
                <w:szCs w:val="24"/>
              </w:rPr>
            </w:pPr>
            <w:r>
              <w:rPr>
                <w:rFonts w:hint="eastAsia" w:ascii="黑体" w:hAnsi="黑体" w:eastAsia="黑体"/>
                <w:sz w:val="24"/>
                <w:szCs w:val="24"/>
              </w:rPr>
              <w:t>本年制发件数</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黑体" w:hAnsi="黑体" w:eastAsia="黑体"/>
                <w:sz w:val="24"/>
                <w:szCs w:val="24"/>
              </w:rPr>
            </w:pPr>
            <w:r>
              <w:rPr>
                <w:rFonts w:hint="eastAsia" w:ascii="黑体" w:hAnsi="黑体" w:eastAsia="黑体"/>
                <w:sz w:val="24"/>
                <w:szCs w:val="24"/>
              </w:rPr>
              <w:t>本年废止件数</w:t>
            </w:r>
          </w:p>
        </w:tc>
        <w:tc>
          <w:tcPr>
            <w:tcW w:w="2208"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黑体" w:hAnsi="黑体" w:eastAsia="黑体"/>
                <w:sz w:val="24"/>
                <w:szCs w:val="24"/>
              </w:rPr>
            </w:pPr>
            <w:r>
              <w:rPr>
                <w:rFonts w:hint="eastAsia" w:ascii="黑体" w:hAnsi="黑体" w:eastAsia="黑体"/>
                <w:sz w:val="24"/>
                <w:szCs w:val="24"/>
              </w:rPr>
              <w:t>现行有效件数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7"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规章</w:t>
            </w:r>
          </w:p>
        </w:tc>
        <w:tc>
          <w:tcPr>
            <w:tcW w:w="2492"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2208"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7"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行政规范性文件</w:t>
            </w:r>
          </w:p>
        </w:tc>
        <w:tc>
          <w:tcPr>
            <w:tcW w:w="2492"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2208"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45" w:type="dxa"/>
            <w:gridSpan w:val="4"/>
            <w:tcBorders>
              <w:top w:val="single" w:color="auto" w:sz="4" w:space="0"/>
              <w:left w:val="single" w:color="auto" w:sz="4" w:space="0"/>
              <w:bottom w:val="single" w:color="auto" w:sz="4" w:space="0"/>
              <w:right w:val="single" w:color="auto" w:sz="4" w:space="0"/>
            </w:tcBorders>
          </w:tcPr>
          <w:p>
            <w:pPr>
              <w:widowControl w:val="0"/>
              <w:autoSpaceDE w:val="0"/>
              <w:spacing w:line="400" w:lineRule="exact"/>
              <w:jc w:val="center"/>
              <w:rPr>
                <w:rFonts w:ascii="黑体" w:hAnsi="黑体" w:eastAsia="黑体"/>
                <w:sz w:val="24"/>
                <w:szCs w:val="24"/>
              </w:rPr>
            </w:pPr>
            <w:r>
              <w:rPr>
                <w:rFonts w:hint="eastAsia" w:ascii="黑体" w:hAnsi="黑体" w:eastAsia="黑体"/>
                <w:sz w:val="24"/>
                <w:szCs w:val="24"/>
              </w:rPr>
              <w:t>第二十条第（五）项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7"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黑体" w:hAnsi="黑体" w:eastAsia="黑体"/>
                <w:sz w:val="24"/>
                <w:szCs w:val="24"/>
              </w:rPr>
            </w:pPr>
            <w:r>
              <w:rPr>
                <w:rFonts w:hint="eastAsia" w:ascii="黑体" w:hAnsi="黑体" w:eastAsia="黑体"/>
                <w:sz w:val="24"/>
                <w:szCs w:val="24"/>
              </w:rPr>
              <w:t>信息内容</w:t>
            </w:r>
          </w:p>
        </w:tc>
        <w:tc>
          <w:tcPr>
            <w:tcW w:w="6968" w:type="dxa"/>
            <w:gridSpan w:val="3"/>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黑体" w:hAnsi="黑体" w:eastAsia="黑体"/>
                <w:sz w:val="24"/>
                <w:szCs w:val="24"/>
              </w:rPr>
            </w:pPr>
            <w:r>
              <w:rPr>
                <w:rFonts w:hint="eastAsia" w:ascii="黑体" w:hAnsi="黑体" w:eastAsia="黑体"/>
                <w:sz w:val="24"/>
                <w:szCs w:val="24"/>
              </w:rPr>
              <w:t>本年处理决定数量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7"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行政许可</w:t>
            </w:r>
          </w:p>
        </w:tc>
        <w:tc>
          <w:tcPr>
            <w:tcW w:w="6968" w:type="dxa"/>
            <w:gridSpan w:val="3"/>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45" w:type="dxa"/>
            <w:gridSpan w:val="4"/>
            <w:tcBorders>
              <w:top w:val="single" w:color="auto" w:sz="4" w:space="0"/>
              <w:left w:val="single" w:color="auto" w:sz="4" w:space="0"/>
              <w:bottom w:val="single" w:color="auto" w:sz="4" w:space="0"/>
              <w:right w:val="single" w:color="auto" w:sz="4" w:space="0"/>
            </w:tcBorders>
          </w:tcPr>
          <w:p>
            <w:pPr>
              <w:widowControl w:val="0"/>
              <w:autoSpaceDE w:val="0"/>
              <w:spacing w:line="400" w:lineRule="exact"/>
              <w:jc w:val="center"/>
              <w:rPr>
                <w:rFonts w:ascii="黑体" w:hAnsi="黑体" w:eastAsia="黑体"/>
                <w:sz w:val="24"/>
                <w:szCs w:val="24"/>
              </w:rPr>
            </w:pPr>
            <w:r>
              <w:rPr>
                <w:rFonts w:hint="eastAsia" w:ascii="黑体" w:hAnsi="黑体" w:eastAsia="黑体"/>
                <w:sz w:val="24"/>
                <w:szCs w:val="24"/>
              </w:rPr>
              <w:t>第二十条第（六）项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7"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黑体" w:hAnsi="黑体" w:eastAsia="黑体"/>
                <w:sz w:val="24"/>
                <w:szCs w:val="24"/>
              </w:rPr>
            </w:pPr>
            <w:r>
              <w:rPr>
                <w:rFonts w:hint="eastAsia" w:ascii="黑体" w:hAnsi="黑体" w:eastAsia="黑体"/>
                <w:sz w:val="24"/>
                <w:szCs w:val="24"/>
              </w:rPr>
              <w:t>信息内容</w:t>
            </w:r>
          </w:p>
        </w:tc>
        <w:tc>
          <w:tcPr>
            <w:tcW w:w="6968" w:type="dxa"/>
            <w:gridSpan w:val="3"/>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黑体" w:hAnsi="黑体" w:eastAsia="黑体"/>
                <w:sz w:val="24"/>
                <w:szCs w:val="24"/>
              </w:rPr>
            </w:pPr>
            <w:r>
              <w:rPr>
                <w:rFonts w:hint="eastAsia" w:ascii="黑体" w:hAnsi="黑体" w:eastAsia="黑体"/>
                <w:sz w:val="24"/>
                <w:szCs w:val="24"/>
              </w:rPr>
              <w:t>本年处理决定数量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7"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行政处罚</w:t>
            </w:r>
          </w:p>
        </w:tc>
        <w:tc>
          <w:tcPr>
            <w:tcW w:w="6968" w:type="dxa"/>
            <w:gridSpan w:val="3"/>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7"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行政强制</w:t>
            </w:r>
          </w:p>
        </w:tc>
        <w:tc>
          <w:tcPr>
            <w:tcW w:w="6968" w:type="dxa"/>
            <w:gridSpan w:val="3"/>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45" w:type="dxa"/>
            <w:gridSpan w:val="4"/>
            <w:tcBorders>
              <w:top w:val="single" w:color="auto" w:sz="4" w:space="0"/>
              <w:left w:val="single" w:color="auto" w:sz="4" w:space="0"/>
              <w:bottom w:val="single" w:color="auto" w:sz="4" w:space="0"/>
              <w:right w:val="single" w:color="auto" w:sz="4" w:space="0"/>
            </w:tcBorders>
          </w:tcPr>
          <w:p>
            <w:pPr>
              <w:widowControl w:val="0"/>
              <w:autoSpaceDE w:val="0"/>
              <w:spacing w:line="400" w:lineRule="exact"/>
              <w:jc w:val="center"/>
              <w:rPr>
                <w:rFonts w:ascii="黑体" w:hAnsi="黑体" w:eastAsia="黑体"/>
                <w:sz w:val="24"/>
                <w:szCs w:val="24"/>
              </w:rPr>
            </w:pPr>
            <w:r>
              <w:rPr>
                <w:rFonts w:hint="eastAsia" w:ascii="黑体" w:hAnsi="黑体" w:eastAsia="黑体"/>
                <w:sz w:val="24"/>
                <w:szCs w:val="24"/>
              </w:rPr>
              <w:t>第二十条第（八）项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7"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黑体" w:hAnsi="黑体" w:eastAsia="黑体"/>
                <w:sz w:val="24"/>
                <w:szCs w:val="24"/>
              </w:rPr>
            </w:pPr>
            <w:r>
              <w:rPr>
                <w:rFonts w:hint="eastAsia" w:ascii="黑体" w:hAnsi="黑体" w:eastAsia="黑体"/>
                <w:sz w:val="24"/>
                <w:szCs w:val="24"/>
              </w:rPr>
              <w:t>信息内容</w:t>
            </w:r>
          </w:p>
        </w:tc>
        <w:tc>
          <w:tcPr>
            <w:tcW w:w="6968" w:type="dxa"/>
            <w:gridSpan w:val="3"/>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黑体" w:hAnsi="黑体" w:eastAsia="黑体"/>
                <w:sz w:val="24"/>
                <w:szCs w:val="24"/>
              </w:rPr>
            </w:pPr>
            <w:r>
              <w:rPr>
                <w:rFonts w:hint="eastAsia" w:ascii="黑体" w:hAnsi="黑体" w:eastAsia="黑体"/>
                <w:sz w:val="24"/>
                <w:szCs w:val="24"/>
              </w:rPr>
              <w:t>本年收费金额（单位：万元）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7"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行政事业性收费</w:t>
            </w:r>
          </w:p>
        </w:tc>
        <w:tc>
          <w:tcPr>
            <w:tcW w:w="6968" w:type="dxa"/>
            <w:gridSpan w:val="3"/>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r>
    </w:tbl>
    <w:p>
      <w:pPr>
        <w:widowControl w:val="0"/>
        <w:autoSpaceDE w:val="0"/>
        <w:spacing w:line="660" w:lineRule="exact"/>
        <w:ind w:firstLine="640" w:firstLineChars="200"/>
        <w:rPr>
          <w:rFonts w:hint="eastAsia" w:ascii="黑体" w:hAnsi="黑体" w:eastAsia="黑体"/>
          <w:sz w:val="32"/>
          <w:szCs w:val="32"/>
        </w:rPr>
      </w:pPr>
      <w:r>
        <w:rPr>
          <w:rFonts w:hint="eastAsia" w:ascii="黑体" w:hAnsi="黑体" w:eastAsia="黑体"/>
          <w:color w:val="000000"/>
          <w:sz w:val="32"/>
          <w:szCs w:val="32"/>
        </w:rPr>
        <w:t>三、收到和处理政府信息公开申请情况</w:t>
      </w:r>
    </w:p>
    <w:tbl>
      <w:tblPr>
        <w:tblStyle w:val="3"/>
        <w:tblW w:w="93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5"/>
        <w:gridCol w:w="1125"/>
        <w:gridCol w:w="16"/>
        <w:gridCol w:w="2029"/>
        <w:gridCol w:w="839"/>
        <w:gridCol w:w="709"/>
        <w:gridCol w:w="709"/>
        <w:gridCol w:w="800"/>
        <w:gridCol w:w="780"/>
        <w:gridCol w:w="570"/>
        <w:gridCol w:w="7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25" w:type="dxa"/>
            <w:gridSpan w:val="4"/>
            <w:vMerge w:val="restart"/>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rPr>
                <w:rFonts w:ascii="宋体" w:hAnsi="宋体"/>
                <w:sz w:val="18"/>
                <w:szCs w:val="18"/>
              </w:rPr>
            </w:pPr>
            <w:r>
              <w:rPr>
                <w:rFonts w:hint="eastAsia" w:ascii="仿宋_GB2312" w:eastAsia="仿宋_GB2312"/>
                <w:sz w:val="24"/>
                <w:szCs w:val="24"/>
              </w:rPr>
              <w:t>（本列数据的勾稽关系为：第一项加第二项之和，等于第三项加第四项之和）</w:t>
            </w:r>
          </w:p>
        </w:tc>
        <w:tc>
          <w:tcPr>
            <w:tcW w:w="5154" w:type="dxa"/>
            <w:gridSpan w:val="7"/>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黑体" w:hAnsi="黑体" w:eastAsia="黑体"/>
                <w:sz w:val="24"/>
                <w:szCs w:val="24"/>
              </w:rPr>
            </w:pPr>
            <w:r>
              <w:rPr>
                <w:rFonts w:hint="eastAsia" w:ascii="黑体" w:hAnsi="黑体" w:eastAsia="黑体"/>
                <w:sz w:val="24"/>
                <w:szCs w:val="24"/>
              </w:rPr>
              <w:t>申请人情况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469" w:type="dxa"/>
            <w:gridSpan w:val="4"/>
            <w:vMerge w:val="continue"/>
            <w:tcBorders>
              <w:top w:val="single" w:color="auto" w:sz="4" w:space="0"/>
              <w:left w:val="single" w:color="auto" w:sz="4" w:space="0"/>
              <w:bottom w:val="single" w:color="auto" w:sz="4" w:space="0"/>
              <w:right w:val="single" w:color="auto" w:sz="4" w:space="0"/>
            </w:tcBorders>
            <w:vAlign w:val="center"/>
          </w:tcPr>
          <w:p>
            <w:pPr>
              <w:jc w:val="left"/>
              <w:rPr>
                <w:rFonts w:ascii="宋体" w:hAnsi="宋体"/>
                <w:sz w:val="18"/>
                <w:szCs w:val="18"/>
              </w:rPr>
            </w:pPr>
          </w:p>
        </w:tc>
        <w:tc>
          <w:tcPr>
            <w:tcW w:w="839" w:type="dxa"/>
            <w:vMerge w:val="restart"/>
            <w:tcBorders>
              <w:top w:val="nil"/>
              <w:left w:val="single" w:color="auto" w:sz="4" w:space="0"/>
              <w:bottom w:val="single" w:color="auto" w:sz="4" w:space="0"/>
              <w:right w:val="single" w:color="auto" w:sz="4" w:space="0"/>
            </w:tcBorders>
            <w:vAlign w:val="center"/>
          </w:tcPr>
          <w:p>
            <w:pPr>
              <w:widowControl w:val="0"/>
              <w:autoSpaceDE w:val="0"/>
              <w:spacing w:line="400" w:lineRule="exact"/>
              <w:jc w:val="center"/>
              <w:rPr>
                <w:rFonts w:ascii="黑体" w:hAnsi="黑体" w:eastAsia="黑体"/>
                <w:sz w:val="24"/>
                <w:szCs w:val="24"/>
              </w:rPr>
            </w:pPr>
            <w:r>
              <w:rPr>
                <w:rFonts w:hint="eastAsia" w:ascii="黑体" w:hAnsi="黑体" w:eastAsia="黑体"/>
                <w:sz w:val="24"/>
                <w:szCs w:val="24"/>
              </w:rPr>
              <w:t>自然人</w:t>
            </w:r>
          </w:p>
        </w:tc>
        <w:tc>
          <w:tcPr>
            <w:tcW w:w="3568" w:type="dxa"/>
            <w:gridSpan w:val="5"/>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黑体" w:hAnsi="黑体" w:eastAsia="黑体"/>
                <w:sz w:val="24"/>
                <w:szCs w:val="24"/>
              </w:rPr>
            </w:pPr>
            <w:r>
              <w:rPr>
                <w:rFonts w:hint="eastAsia" w:ascii="黑体" w:hAnsi="黑体" w:eastAsia="黑体"/>
                <w:sz w:val="24"/>
                <w:szCs w:val="24"/>
              </w:rPr>
              <w:t>法人或其他组织</w:t>
            </w:r>
          </w:p>
        </w:tc>
        <w:tc>
          <w:tcPr>
            <w:tcW w:w="747" w:type="dxa"/>
            <w:vMerge w:val="restart"/>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黑体" w:hAnsi="黑体" w:eastAsia="黑体"/>
                <w:sz w:val="24"/>
                <w:szCs w:val="24"/>
              </w:rPr>
            </w:pPr>
            <w:r>
              <w:rPr>
                <w:rFonts w:hint="eastAsia" w:ascii="黑体" w:hAnsi="黑体" w:eastAsia="黑体"/>
                <w:sz w:val="24"/>
                <w:szCs w:val="24"/>
              </w:rPr>
              <w:t>总计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469" w:type="dxa"/>
            <w:gridSpan w:val="4"/>
            <w:vMerge w:val="continue"/>
            <w:tcBorders>
              <w:top w:val="single" w:color="auto" w:sz="4" w:space="0"/>
              <w:left w:val="single" w:color="auto" w:sz="4" w:space="0"/>
              <w:bottom w:val="single" w:color="auto" w:sz="4" w:space="0"/>
              <w:right w:val="single" w:color="auto" w:sz="4" w:space="0"/>
            </w:tcBorders>
            <w:vAlign w:val="center"/>
          </w:tcPr>
          <w:p>
            <w:pPr>
              <w:jc w:val="left"/>
              <w:rPr>
                <w:rFonts w:ascii="宋体" w:hAnsi="宋体"/>
                <w:sz w:val="18"/>
                <w:szCs w:val="18"/>
              </w:rPr>
            </w:pPr>
          </w:p>
        </w:tc>
        <w:tc>
          <w:tcPr>
            <w:tcW w:w="5154" w:type="dxa"/>
            <w:vMerge w:val="continue"/>
            <w:tcBorders>
              <w:top w:val="nil"/>
              <w:left w:val="single" w:color="auto" w:sz="4" w:space="0"/>
              <w:bottom w:val="single" w:color="auto" w:sz="4" w:space="0"/>
              <w:right w:val="single" w:color="auto" w:sz="4" w:space="0"/>
            </w:tcBorders>
            <w:vAlign w:val="center"/>
          </w:tcPr>
          <w:p>
            <w:pPr>
              <w:jc w:val="left"/>
              <w:rPr>
                <w:rFonts w:ascii="黑体" w:hAnsi="黑体" w:eastAsia="黑体"/>
                <w:sz w:val="24"/>
                <w:szCs w:val="24"/>
              </w:rPr>
            </w:pPr>
          </w:p>
        </w:tc>
        <w:tc>
          <w:tcPr>
            <w:tcW w:w="709"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黑体" w:hAnsi="黑体" w:eastAsia="黑体"/>
                <w:sz w:val="24"/>
                <w:szCs w:val="24"/>
              </w:rPr>
            </w:pPr>
            <w:r>
              <w:rPr>
                <w:rFonts w:hint="eastAsia" w:ascii="黑体" w:hAnsi="黑体" w:eastAsia="黑体"/>
                <w:sz w:val="24"/>
                <w:szCs w:val="24"/>
              </w:rPr>
              <w:t>商业企业</w:t>
            </w:r>
          </w:p>
        </w:tc>
        <w:tc>
          <w:tcPr>
            <w:tcW w:w="709"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黑体" w:hAnsi="黑体" w:eastAsia="黑体"/>
                <w:sz w:val="24"/>
                <w:szCs w:val="24"/>
              </w:rPr>
            </w:pPr>
            <w:r>
              <w:rPr>
                <w:rFonts w:hint="eastAsia" w:ascii="黑体" w:hAnsi="黑体" w:eastAsia="黑体"/>
                <w:sz w:val="24"/>
                <w:szCs w:val="24"/>
              </w:rPr>
              <w:t>科研机构</w:t>
            </w:r>
          </w:p>
        </w:tc>
        <w:tc>
          <w:tcPr>
            <w:tcW w:w="800"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黑体" w:hAnsi="黑体" w:eastAsia="黑体"/>
                <w:sz w:val="24"/>
                <w:szCs w:val="24"/>
              </w:rPr>
            </w:pPr>
            <w:r>
              <w:rPr>
                <w:rFonts w:hint="eastAsia" w:ascii="黑体" w:hAnsi="黑体" w:eastAsia="黑体"/>
                <w:sz w:val="24"/>
                <w:szCs w:val="24"/>
              </w:rPr>
              <w:t>社会公益组织</w:t>
            </w:r>
          </w:p>
        </w:tc>
        <w:tc>
          <w:tcPr>
            <w:tcW w:w="780"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黑体" w:hAnsi="黑体" w:eastAsia="黑体"/>
                <w:sz w:val="24"/>
                <w:szCs w:val="24"/>
              </w:rPr>
            </w:pPr>
            <w:r>
              <w:rPr>
                <w:rFonts w:hint="eastAsia" w:ascii="黑体" w:hAnsi="黑体" w:eastAsia="黑体"/>
                <w:sz w:val="24"/>
                <w:szCs w:val="24"/>
              </w:rPr>
              <w:t>法律服务机构</w:t>
            </w:r>
          </w:p>
        </w:tc>
        <w:tc>
          <w:tcPr>
            <w:tcW w:w="570"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黑体" w:hAnsi="黑体" w:eastAsia="黑体"/>
                <w:sz w:val="24"/>
                <w:szCs w:val="24"/>
              </w:rPr>
            </w:pPr>
            <w:r>
              <w:rPr>
                <w:rFonts w:hint="eastAsia" w:ascii="黑体" w:hAnsi="黑体" w:eastAsia="黑体"/>
                <w:sz w:val="24"/>
                <w:szCs w:val="24"/>
              </w:rPr>
              <w:t>其他</w:t>
            </w:r>
          </w:p>
        </w:tc>
        <w:tc>
          <w:tcPr>
            <w:tcW w:w="747" w:type="dxa"/>
            <w:vMerge w:val="continue"/>
            <w:tcBorders>
              <w:top w:val="single" w:color="auto" w:sz="4" w:space="0"/>
              <w:left w:val="single" w:color="auto" w:sz="4" w:space="0"/>
              <w:bottom w:val="single" w:color="auto" w:sz="4" w:space="0"/>
              <w:right w:val="single" w:color="auto" w:sz="4" w:space="0"/>
            </w:tcBorders>
            <w:vAlign w:val="center"/>
          </w:tcPr>
          <w:p>
            <w:pPr>
              <w:jc w:val="left"/>
              <w:rPr>
                <w:rFonts w:ascii="黑体" w:hAnsi="黑体" w:eastAsia="黑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4225" w:type="dxa"/>
            <w:gridSpan w:val="4"/>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rPr>
                <w:rFonts w:ascii="仿宋_GB2312" w:eastAsia="仿宋_GB2312"/>
                <w:sz w:val="24"/>
                <w:szCs w:val="24"/>
              </w:rPr>
            </w:pPr>
            <w:r>
              <w:rPr>
                <w:rFonts w:hint="eastAsia" w:ascii="仿宋_GB2312" w:eastAsia="仿宋_GB2312"/>
                <w:sz w:val="24"/>
                <w:szCs w:val="24"/>
              </w:rPr>
              <w:t>一、本年新收政府信息公开申请数量</w:t>
            </w:r>
          </w:p>
        </w:tc>
        <w:tc>
          <w:tcPr>
            <w:tcW w:w="839"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3</w:t>
            </w:r>
          </w:p>
        </w:tc>
        <w:tc>
          <w:tcPr>
            <w:tcW w:w="709"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709"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800"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780"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570"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747"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4225" w:type="dxa"/>
            <w:gridSpan w:val="4"/>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rPr>
                <w:rFonts w:ascii="仿宋_GB2312" w:eastAsia="仿宋_GB2312"/>
                <w:sz w:val="24"/>
                <w:szCs w:val="24"/>
              </w:rPr>
            </w:pPr>
            <w:r>
              <w:rPr>
                <w:rFonts w:hint="eastAsia" w:ascii="仿宋_GB2312" w:eastAsia="仿宋_GB2312"/>
                <w:sz w:val="24"/>
                <w:szCs w:val="24"/>
              </w:rPr>
              <w:t>二、上年转结政府信息公开申请数量</w:t>
            </w:r>
          </w:p>
        </w:tc>
        <w:tc>
          <w:tcPr>
            <w:tcW w:w="839"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709"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709"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800"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780"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570"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747"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restart"/>
            <w:tcBorders>
              <w:top w:val="nil"/>
              <w:left w:val="single" w:color="auto" w:sz="4" w:space="0"/>
              <w:bottom w:val="single" w:color="auto" w:sz="4" w:space="0"/>
              <w:right w:val="single" w:color="auto" w:sz="4" w:space="0"/>
            </w:tcBorders>
            <w:vAlign w:val="center"/>
          </w:tcPr>
          <w:p>
            <w:pPr>
              <w:widowControl w:val="0"/>
              <w:autoSpaceDE w:val="0"/>
              <w:spacing w:line="400" w:lineRule="exact"/>
              <w:rPr>
                <w:rFonts w:ascii="仿宋_GB2312" w:eastAsia="仿宋_GB2312"/>
                <w:sz w:val="24"/>
                <w:szCs w:val="24"/>
              </w:rPr>
            </w:pPr>
            <w:r>
              <w:rPr>
                <w:rFonts w:hint="eastAsia" w:ascii="仿宋_GB2312" w:eastAsia="仿宋_GB2312"/>
                <w:sz w:val="24"/>
                <w:szCs w:val="24"/>
              </w:rPr>
              <w:t>三、本年度办理结果</w:t>
            </w:r>
          </w:p>
        </w:tc>
        <w:tc>
          <w:tcPr>
            <w:tcW w:w="3170" w:type="dxa"/>
            <w:gridSpan w:val="3"/>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rPr>
                <w:rFonts w:ascii="仿宋_GB2312" w:eastAsia="仿宋_GB2312"/>
                <w:sz w:val="24"/>
                <w:szCs w:val="24"/>
              </w:rPr>
            </w:pPr>
            <w:r>
              <w:rPr>
                <w:rFonts w:hint="eastAsia" w:ascii="仿宋_GB2312" w:eastAsia="仿宋_GB2312"/>
                <w:sz w:val="24"/>
                <w:szCs w:val="24"/>
              </w:rPr>
              <w:t>（一）予以公开</w:t>
            </w:r>
          </w:p>
        </w:tc>
        <w:tc>
          <w:tcPr>
            <w:tcW w:w="839"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1</w:t>
            </w:r>
          </w:p>
        </w:tc>
        <w:tc>
          <w:tcPr>
            <w:tcW w:w="709"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709"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800"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780"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570"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747"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25" w:type="dxa"/>
            <w:vMerge w:val="continue"/>
            <w:tcBorders>
              <w:top w:val="nil"/>
              <w:left w:val="single" w:color="auto" w:sz="4" w:space="0"/>
              <w:bottom w:val="single" w:color="auto" w:sz="4" w:space="0"/>
              <w:right w:val="single" w:color="auto" w:sz="4" w:space="0"/>
            </w:tcBorders>
            <w:vAlign w:val="center"/>
          </w:tcPr>
          <w:p>
            <w:pPr>
              <w:jc w:val="left"/>
              <w:rPr>
                <w:rFonts w:ascii="仿宋_GB2312" w:eastAsia="仿宋_GB2312"/>
                <w:sz w:val="24"/>
                <w:szCs w:val="24"/>
              </w:rPr>
            </w:pPr>
          </w:p>
        </w:tc>
        <w:tc>
          <w:tcPr>
            <w:tcW w:w="3170" w:type="dxa"/>
            <w:gridSpan w:val="3"/>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rPr>
                <w:rFonts w:ascii="仿宋_GB2312" w:eastAsia="仿宋_GB2312"/>
                <w:sz w:val="24"/>
                <w:szCs w:val="24"/>
              </w:rPr>
            </w:pPr>
            <w:r>
              <w:rPr>
                <w:rFonts w:hint="eastAsia" w:ascii="仿宋_GB2312" w:eastAsia="仿宋_GB2312"/>
                <w:sz w:val="24"/>
                <w:szCs w:val="24"/>
              </w:rPr>
              <w:t>（二）部分公开（区分处理的，只计这一情形，不计其他情形）</w:t>
            </w:r>
          </w:p>
        </w:tc>
        <w:tc>
          <w:tcPr>
            <w:tcW w:w="839"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709"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709"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800"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780"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570"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747"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25" w:type="dxa"/>
            <w:vMerge w:val="continue"/>
            <w:tcBorders>
              <w:top w:val="nil"/>
              <w:left w:val="single" w:color="auto" w:sz="4" w:space="0"/>
              <w:bottom w:val="single" w:color="auto" w:sz="4" w:space="0"/>
              <w:right w:val="single" w:color="auto" w:sz="4" w:space="0"/>
            </w:tcBorders>
            <w:vAlign w:val="center"/>
          </w:tcPr>
          <w:p>
            <w:pPr>
              <w:jc w:val="left"/>
              <w:rPr>
                <w:rFonts w:ascii="仿宋_GB2312" w:eastAsia="仿宋_GB2312"/>
                <w:sz w:val="24"/>
                <w:szCs w:val="24"/>
              </w:rPr>
            </w:pPr>
          </w:p>
        </w:tc>
        <w:tc>
          <w:tcPr>
            <w:tcW w:w="1141" w:type="dxa"/>
            <w:gridSpan w:val="2"/>
            <w:vMerge w:val="restart"/>
            <w:tcBorders>
              <w:top w:val="nil"/>
              <w:left w:val="single" w:color="auto" w:sz="4" w:space="0"/>
              <w:bottom w:val="single" w:color="auto" w:sz="4" w:space="0"/>
              <w:right w:val="single" w:color="auto" w:sz="4" w:space="0"/>
            </w:tcBorders>
            <w:vAlign w:val="center"/>
          </w:tcPr>
          <w:p>
            <w:pPr>
              <w:widowControl w:val="0"/>
              <w:autoSpaceDE w:val="0"/>
              <w:spacing w:line="400" w:lineRule="exact"/>
              <w:rPr>
                <w:rFonts w:ascii="仿宋_GB2312" w:eastAsia="仿宋_GB2312"/>
                <w:sz w:val="24"/>
                <w:szCs w:val="24"/>
              </w:rPr>
            </w:pPr>
            <w:r>
              <w:rPr>
                <w:rFonts w:hint="eastAsia" w:ascii="仿宋_GB2312" w:eastAsia="仿宋_GB2312"/>
                <w:sz w:val="24"/>
                <w:szCs w:val="24"/>
              </w:rPr>
              <w:t>（三）不予公开</w:t>
            </w:r>
          </w:p>
        </w:tc>
        <w:tc>
          <w:tcPr>
            <w:tcW w:w="2029"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rPr>
                <w:rFonts w:hint="eastAsia" w:ascii="仿宋_GB2312" w:eastAsia="仿宋_GB2312"/>
                <w:sz w:val="24"/>
                <w:szCs w:val="24"/>
                <w:lang w:val="en-US" w:eastAsia="zh-CN"/>
              </w:rPr>
            </w:pPr>
            <w:r>
              <w:rPr>
                <w:rFonts w:hint="eastAsia" w:ascii="仿宋_GB2312" w:eastAsia="仿宋_GB2312"/>
                <w:sz w:val="24"/>
                <w:szCs w:val="24"/>
              </w:rPr>
              <w:t>1.属于国家</w:t>
            </w:r>
            <w:bookmarkStart w:id="0" w:name="_GoBack"/>
            <w:bookmarkEnd w:id="0"/>
          </w:p>
        </w:tc>
        <w:tc>
          <w:tcPr>
            <w:tcW w:w="839"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709"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709"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800"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780"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570"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747"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25" w:type="dxa"/>
            <w:vMerge w:val="continue"/>
            <w:tcBorders>
              <w:top w:val="nil"/>
              <w:left w:val="single" w:color="auto" w:sz="4" w:space="0"/>
              <w:bottom w:val="single" w:color="auto" w:sz="4" w:space="0"/>
              <w:right w:val="single" w:color="auto" w:sz="4" w:space="0"/>
            </w:tcBorders>
            <w:vAlign w:val="center"/>
          </w:tcPr>
          <w:p>
            <w:pPr>
              <w:jc w:val="left"/>
              <w:rPr>
                <w:rFonts w:ascii="仿宋_GB2312" w:eastAsia="仿宋_GB2312"/>
                <w:sz w:val="24"/>
                <w:szCs w:val="24"/>
              </w:rPr>
            </w:pPr>
          </w:p>
        </w:tc>
        <w:tc>
          <w:tcPr>
            <w:tcW w:w="5215" w:type="dxa"/>
            <w:gridSpan w:val="2"/>
            <w:vMerge w:val="continue"/>
            <w:tcBorders>
              <w:top w:val="nil"/>
              <w:left w:val="single" w:color="auto" w:sz="4" w:space="0"/>
              <w:bottom w:val="single" w:color="auto" w:sz="4" w:space="0"/>
              <w:right w:val="single" w:color="auto" w:sz="4" w:space="0"/>
            </w:tcBorders>
            <w:vAlign w:val="center"/>
          </w:tcPr>
          <w:p>
            <w:pPr>
              <w:jc w:val="left"/>
              <w:rPr>
                <w:rFonts w:ascii="仿宋_GB2312" w:eastAsia="仿宋_GB2312"/>
                <w:sz w:val="24"/>
                <w:szCs w:val="24"/>
              </w:rPr>
            </w:pPr>
          </w:p>
        </w:tc>
        <w:tc>
          <w:tcPr>
            <w:tcW w:w="2029"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rPr>
                <w:rFonts w:ascii="仿宋_GB2312" w:eastAsia="仿宋_GB2312"/>
                <w:sz w:val="24"/>
                <w:szCs w:val="24"/>
              </w:rPr>
            </w:pPr>
            <w:r>
              <w:rPr>
                <w:rFonts w:hint="eastAsia" w:ascii="仿宋_GB2312" w:eastAsia="仿宋_GB2312"/>
                <w:sz w:val="24"/>
                <w:szCs w:val="24"/>
              </w:rPr>
              <w:t>2.其他法律行政法规禁止公开</w:t>
            </w:r>
          </w:p>
        </w:tc>
        <w:tc>
          <w:tcPr>
            <w:tcW w:w="839"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709"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709"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800"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780"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570"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747"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4225" w:type="dxa"/>
            <w:vMerge w:val="continue"/>
            <w:tcBorders>
              <w:top w:val="nil"/>
              <w:left w:val="single" w:color="auto" w:sz="4" w:space="0"/>
              <w:bottom w:val="single" w:color="auto" w:sz="4" w:space="0"/>
              <w:right w:val="single" w:color="auto" w:sz="4" w:space="0"/>
            </w:tcBorders>
            <w:vAlign w:val="center"/>
          </w:tcPr>
          <w:p>
            <w:pPr>
              <w:jc w:val="left"/>
              <w:rPr>
                <w:rFonts w:ascii="仿宋_GB2312" w:eastAsia="仿宋_GB2312"/>
                <w:sz w:val="24"/>
                <w:szCs w:val="24"/>
              </w:rPr>
            </w:pPr>
          </w:p>
        </w:tc>
        <w:tc>
          <w:tcPr>
            <w:tcW w:w="5215" w:type="dxa"/>
            <w:gridSpan w:val="2"/>
            <w:vMerge w:val="continue"/>
            <w:tcBorders>
              <w:top w:val="nil"/>
              <w:left w:val="single" w:color="auto" w:sz="4" w:space="0"/>
              <w:bottom w:val="single" w:color="auto" w:sz="4" w:space="0"/>
              <w:right w:val="single" w:color="auto" w:sz="4" w:space="0"/>
            </w:tcBorders>
            <w:vAlign w:val="center"/>
          </w:tcPr>
          <w:p>
            <w:pPr>
              <w:jc w:val="left"/>
              <w:rPr>
                <w:rFonts w:ascii="仿宋_GB2312" w:eastAsia="仿宋_GB2312"/>
                <w:sz w:val="24"/>
                <w:szCs w:val="24"/>
              </w:rPr>
            </w:pPr>
          </w:p>
        </w:tc>
        <w:tc>
          <w:tcPr>
            <w:tcW w:w="2029"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rPr>
                <w:rFonts w:ascii="仿宋_GB2312" w:eastAsia="仿宋_GB2312"/>
                <w:sz w:val="24"/>
                <w:szCs w:val="24"/>
              </w:rPr>
            </w:pPr>
            <w:r>
              <w:rPr>
                <w:rFonts w:hint="eastAsia" w:ascii="仿宋_GB2312" w:eastAsia="仿宋_GB2312"/>
                <w:sz w:val="24"/>
                <w:szCs w:val="24"/>
              </w:rPr>
              <w:t>3.危及“三安全一稳定”</w:t>
            </w:r>
          </w:p>
        </w:tc>
        <w:tc>
          <w:tcPr>
            <w:tcW w:w="839"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709"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709"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800"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780"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570"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747"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4225" w:type="dxa"/>
            <w:vMerge w:val="continue"/>
            <w:tcBorders>
              <w:top w:val="nil"/>
              <w:left w:val="single" w:color="auto" w:sz="4" w:space="0"/>
              <w:bottom w:val="single" w:color="auto" w:sz="4" w:space="0"/>
              <w:right w:val="single" w:color="auto" w:sz="4" w:space="0"/>
            </w:tcBorders>
            <w:vAlign w:val="center"/>
          </w:tcPr>
          <w:p>
            <w:pPr>
              <w:jc w:val="left"/>
              <w:rPr>
                <w:rFonts w:ascii="仿宋_GB2312" w:eastAsia="仿宋_GB2312"/>
                <w:sz w:val="24"/>
                <w:szCs w:val="24"/>
              </w:rPr>
            </w:pPr>
          </w:p>
        </w:tc>
        <w:tc>
          <w:tcPr>
            <w:tcW w:w="5215" w:type="dxa"/>
            <w:gridSpan w:val="2"/>
            <w:vMerge w:val="continue"/>
            <w:tcBorders>
              <w:top w:val="nil"/>
              <w:left w:val="single" w:color="auto" w:sz="4" w:space="0"/>
              <w:bottom w:val="single" w:color="auto" w:sz="4" w:space="0"/>
              <w:right w:val="single" w:color="auto" w:sz="4" w:space="0"/>
            </w:tcBorders>
            <w:vAlign w:val="center"/>
          </w:tcPr>
          <w:p>
            <w:pPr>
              <w:jc w:val="left"/>
              <w:rPr>
                <w:rFonts w:ascii="仿宋_GB2312" w:eastAsia="仿宋_GB2312"/>
                <w:sz w:val="24"/>
                <w:szCs w:val="24"/>
              </w:rPr>
            </w:pPr>
          </w:p>
        </w:tc>
        <w:tc>
          <w:tcPr>
            <w:tcW w:w="2029"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rPr>
                <w:rFonts w:ascii="仿宋_GB2312" w:eastAsia="仿宋_GB2312"/>
                <w:sz w:val="24"/>
                <w:szCs w:val="24"/>
              </w:rPr>
            </w:pPr>
            <w:r>
              <w:rPr>
                <w:rFonts w:hint="eastAsia" w:ascii="仿宋_GB2312" w:eastAsia="仿宋_GB2312"/>
                <w:sz w:val="24"/>
                <w:szCs w:val="24"/>
              </w:rPr>
              <w:t>4.保护第三方合法权益</w:t>
            </w:r>
          </w:p>
        </w:tc>
        <w:tc>
          <w:tcPr>
            <w:tcW w:w="839"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709"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709"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800"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780"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570"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747"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25" w:type="dxa"/>
            <w:vMerge w:val="continue"/>
            <w:tcBorders>
              <w:top w:val="nil"/>
              <w:left w:val="single" w:color="auto" w:sz="4" w:space="0"/>
              <w:bottom w:val="single" w:color="auto" w:sz="4" w:space="0"/>
              <w:right w:val="single" w:color="auto" w:sz="4" w:space="0"/>
            </w:tcBorders>
            <w:vAlign w:val="center"/>
          </w:tcPr>
          <w:p>
            <w:pPr>
              <w:jc w:val="left"/>
              <w:rPr>
                <w:rFonts w:ascii="仿宋_GB2312" w:eastAsia="仿宋_GB2312"/>
                <w:sz w:val="24"/>
                <w:szCs w:val="24"/>
              </w:rPr>
            </w:pPr>
          </w:p>
        </w:tc>
        <w:tc>
          <w:tcPr>
            <w:tcW w:w="5215" w:type="dxa"/>
            <w:gridSpan w:val="2"/>
            <w:vMerge w:val="continue"/>
            <w:tcBorders>
              <w:top w:val="nil"/>
              <w:left w:val="single" w:color="auto" w:sz="4" w:space="0"/>
              <w:bottom w:val="single" w:color="auto" w:sz="4" w:space="0"/>
              <w:right w:val="single" w:color="auto" w:sz="4" w:space="0"/>
            </w:tcBorders>
            <w:vAlign w:val="center"/>
          </w:tcPr>
          <w:p>
            <w:pPr>
              <w:jc w:val="left"/>
              <w:rPr>
                <w:rFonts w:ascii="仿宋_GB2312" w:eastAsia="仿宋_GB2312"/>
                <w:sz w:val="24"/>
                <w:szCs w:val="24"/>
              </w:rPr>
            </w:pPr>
          </w:p>
        </w:tc>
        <w:tc>
          <w:tcPr>
            <w:tcW w:w="2029"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rPr>
                <w:rFonts w:ascii="仿宋_GB2312" w:eastAsia="仿宋_GB2312"/>
                <w:sz w:val="24"/>
                <w:szCs w:val="24"/>
              </w:rPr>
            </w:pPr>
            <w:r>
              <w:rPr>
                <w:rFonts w:hint="eastAsia" w:ascii="仿宋_GB2312" w:eastAsia="仿宋_GB2312"/>
                <w:sz w:val="24"/>
                <w:szCs w:val="24"/>
              </w:rPr>
              <w:t>5.属于三类内部事务信息</w:t>
            </w:r>
          </w:p>
        </w:tc>
        <w:tc>
          <w:tcPr>
            <w:tcW w:w="839"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709"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709"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800"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780"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570"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747"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4225" w:type="dxa"/>
            <w:vMerge w:val="continue"/>
            <w:tcBorders>
              <w:top w:val="nil"/>
              <w:left w:val="single" w:color="auto" w:sz="4" w:space="0"/>
              <w:bottom w:val="single" w:color="auto" w:sz="4" w:space="0"/>
              <w:right w:val="single" w:color="auto" w:sz="4" w:space="0"/>
            </w:tcBorders>
            <w:vAlign w:val="center"/>
          </w:tcPr>
          <w:p>
            <w:pPr>
              <w:jc w:val="left"/>
              <w:rPr>
                <w:rFonts w:ascii="仿宋_GB2312" w:eastAsia="仿宋_GB2312"/>
                <w:sz w:val="24"/>
                <w:szCs w:val="24"/>
              </w:rPr>
            </w:pPr>
          </w:p>
        </w:tc>
        <w:tc>
          <w:tcPr>
            <w:tcW w:w="5215" w:type="dxa"/>
            <w:gridSpan w:val="2"/>
            <w:vMerge w:val="continue"/>
            <w:tcBorders>
              <w:top w:val="nil"/>
              <w:left w:val="single" w:color="auto" w:sz="4" w:space="0"/>
              <w:bottom w:val="single" w:color="auto" w:sz="4" w:space="0"/>
              <w:right w:val="single" w:color="auto" w:sz="4" w:space="0"/>
            </w:tcBorders>
            <w:vAlign w:val="center"/>
          </w:tcPr>
          <w:p>
            <w:pPr>
              <w:jc w:val="left"/>
              <w:rPr>
                <w:rFonts w:ascii="仿宋_GB2312" w:eastAsia="仿宋_GB2312"/>
                <w:sz w:val="24"/>
                <w:szCs w:val="24"/>
              </w:rPr>
            </w:pPr>
          </w:p>
        </w:tc>
        <w:tc>
          <w:tcPr>
            <w:tcW w:w="2029"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rPr>
                <w:rFonts w:ascii="仿宋_GB2312" w:eastAsia="仿宋_GB2312"/>
                <w:sz w:val="24"/>
                <w:szCs w:val="24"/>
              </w:rPr>
            </w:pPr>
            <w:r>
              <w:rPr>
                <w:rFonts w:hint="eastAsia" w:ascii="仿宋_GB2312" w:eastAsia="仿宋_GB2312"/>
                <w:sz w:val="24"/>
                <w:szCs w:val="24"/>
              </w:rPr>
              <w:t>6.属于四类过程性信息</w:t>
            </w:r>
          </w:p>
        </w:tc>
        <w:tc>
          <w:tcPr>
            <w:tcW w:w="839"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709"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709"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800"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780"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570"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747"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4225" w:type="dxa"/>
            <w:vMerge w:val="continue"/>
            <w:tcBorders>
              <w:top w:val="nil"/>
              <w:left w:val="single" w:color="auto" w:sz="4" w:space="0"/>
              <w:bottom w:val="single" w:color="auto" w:sz="4" w:space="0"/>
              <w:right w:val="single" w:color="auto" w:sz="4" w:space="0"/>
            </w:tcBorders>
            <w:vAlign w:val="center"/>
          </w:tcPr>
          <w:p>
            <w:pPr>
              <w:jc w:val="left"/>
              <w:rPr>
                <w:rFonts w:ascii="仿宋_GB2312" w:eastAsia="仿宋_GB2312"/>
                <w:sz w:val="24"/>
                <w:szCs w:val="24"/>
              </w:rPr>
            </w:pPr>
          </w:p>
        </w:tc>
        <w:tc>
          <w:tcPr>
            <w:tcW w:w="5215" w:type="dxa"/>
            <w:gridSpan w:val="2"/>
            <w:vMerge w:val="continue"/>
            <w:tcBorders>
              <w:top w:val="nil"/>
              <w:left w:val="single" w:color="auto" w:sz="4" w:space="0"/>
              <w:bottom w:val="single" w:color="auto" w:sz="4" w:space="0"/>
              <w:right w:val="single" w:color="auto" w:sz="4" w:space="0"/>
            </w:tcBorders>
            <w:vAlign w:val="center"/>
          </w:tcPr>
          <w:p>
            <w:pPr>
              <w:jc w:val="left"/>
              <w:rPr>
                <w:rFonts w:ascii="仿宋_GB2312" w:eastAsia="仿宋_GB2312"/>
                <w:sz w:val="24"/>
                <w:szCs w:val="24"/>
              </w:rPr>
            </w:pPr>
          </w:p>
        </w:tc>
        <w:tc>
          <w:tcPr>
            <w:tcW w:w="2029"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rPr>
                <w:rFonts w:ascii="仿宋_GB2312" w:eastAsia="仿宋_GB2312"/>
                <w:sz w:val="24"/>
                <w:szCs w:val="24"/>
              </w:rPr>
            </w:pPr>
            <w:r>
              <w:rPr>
                <w:rFonts w:hint="eastAsia" w:ascii="仿宋_GB2312" w:eastAsia="仿宋_GB2312"/>
                <w:sz w:val="24"/>
                <w:szCs w:val="24"/>
              </w:rPr>
              <w:t>7.属于行政执法案卷</w:t>
            </w:r>
          </w:p>
        </w:tc>
        <w:tc>
          <w:tcPr>
            <w:tcW w:w="839"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709"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709"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800"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780"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570"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747"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4225" w:type="dxa"/>
            <w:vMerge w:val="continue"/>
            <w:tcBorders>
              <w:top w:val="nil"/>
              <w:left w:val="single" w:color="auto" w:sz="4" w:space="0"/>
              <w:bottom w:val="single" w:color="auto" w:sz="4" w:space="0"/>
              <w:right w:val="single" w:color="auto" w:sz="4" w:space="0"/>
            </w:tcBorders>
            <w:vAlign w:val="center"/>
          </w:tcPr>
          <w:p>
            <w:pPr>
              <w:jc w:val="left"/>
              <w:rPr>
                <w:rFonts w:ascii="仿宋_GB2312" w:eastAsia="仿宋_GB2312"/>
                <w:sz w:val="24"/>
                <w:szCs w:val="24"/>
              </w:rPr>
            </w:pPr>
          </w:p>
        </w:tc>
        <w:tc>
          <w:tcPr>
            <w:tcW w:w="5215" w:type="dxa"/>
            <w:gridSpan w:val="2"/>
            <w:vMerge w:val="continue"/>
            <w:tcBorders>
              <w:top w:val="nil"/>
              <w:left w:val="single" w:color="auto" w:sz="4" w:space="0"/>
              <w:bottom w:val="single" w:color="auto" w:sz="4" w:space="0"/>
              <w:right w:val="single" w:color="auto" w:sz="4" w:space="0"/>
            </w:tcBorders>
            <w:vAlign w:val="center"/>
          </w:tcPr>
          <w:p>
            <w:pPr>
              <w:jc w:val="left"/>
              <w:rPr>
                <w:rFonts w:ascii="仿宋_GB2312" w:eastAsia="仿宋_GB2312"/>
                <w:sz w:val="24"/>
                <w:szCs w:val="24"/>
              </w:rPr>
            </w:pPr>
          </w:p>
        </w:tc>
        <w:tc>
          <w:tcPr>
            <w:tcW w:w="2029"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rPr>
                <w:rFonts w:ascii="仿宋_GB2312" w:eastAsia="仿宋_GB2312"/>
                <w:sz w:val="24"/>
                <w:szCs w:val="24"/>
              </w:rPr>
            </w:pPr>
            <w:r>
              <w:rPr>
                <w:rFonts w:hint="eastAsia" w:ascii="仿宋_GB2312" w:eastAsia="仿宋_GB2312"/>
                <w:sz w:val="24"/>
                <w:szCs w:val="24"/>
              </w:rPr>
              <w:t>8.属于行政查询事项</w:t>
            </w:r>
          </w:p>
        </w:tc>
        <w:tc>
          <w:tcPr>
            <w:tcW w:w="839"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709"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709"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800"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780"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570"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747"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25" w:type="dxa"/>
            <w:vMerge w:val="continue"/>
            <w:tcBorders>
              <w:top w:val="nil"/>
              <w:left w:val="single" w:color="auto" w:sz="4" w:space="0"/>
              <w:bottom w:val="single" w:color="auto" w:sz="4" w:space="0"/>
              <w:right w:val="single" w:color="auto" w:sz="4" w:space="0"/>
            </w:tcBorders>
            <w:vAlign w:val="center"/>
          </w:tcPr>
          <w:p>
            <w:pPr>
              <w:jc w:val="left"/>
              <w:rPr>
                <w:rFonts w:ascii="仿宋_GB2312" w:eastAsia="仿宋_GB2312"/>
                <w:sz w:val="24"/>
                <w:szCs w:val="24"/>
              </w:rPr>
            </w:pPr>
          </w:p>
        </w:tc>
        <w:tc>
          <w:tcPr>
            <w:tcW w:w="1141" w:type="dxa"/>
            <w:gridSpan w:val="2"/>
            <w:vMerge w:val="restart"/>
            <w:tcBorders>
              <w:top w:val="nil"/>
              <w:left w:val="single" w:color="auto" w:sz="4" w:space="0"/>
              <w:bottom w:val="single" w:color="auto" w:sz="4" w:space="0"/>
              <w:right w:val="single" w:color="auto" w:sz="4" w:space="0"/>
            </w:tcBorders>
            <w:vAlign w:val="center"/>
          </w:tcPr>
          <w:p>
            <w:pPr>
              <w:widowControl w:val="0"/>
              <w:autoSpaceDE w:val="0"/>
              <w:spacing w:line="400" w:lineRule="exact"/>
              <w:rPr>
                <w:rFonts w:ascii="仿宋_GB2312" w:eastAsia="仿宋_GB2312"/>
                <w:sz w:val="24"/>
                <w:szCs w:val="24"/>
              </w:rPr>
            </w:pPr>
            <w:r>
              <w:rPr>
                <w:rFonts w:hint="eastAsia" w:ascii="仿宋_GB2312" w:eastAsia="仿宋_GB2312"/>
                <w:sz w:val="24"/>
                <w:szCs w:val="24"/>
              </w:rPr>
              <w:t>（四）无法提供</w:t>
            </w:r>
          </w:p>
        </w:tc>
        <w:tc>
          <w:tcPr>
            <w:tcW w:w="2029"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rPr>
                <w:rFonts w:ascii="仿宋_GB2312" w:eastAsia="仿宋_GB2312"/>
                <w:sz w:val="24"/>
                <w:szCs w:val="24"/>
              </w:rPr>
            </w:pPr>
            <w:r>
              <w:rPr>
                <w:rFonts w:hint="eastAsia" w:ascii="仿宋_GB2312" w:eastAsia="仿宋_GB2312"/>
                <w:sz w:val="24"/>
                <w:szCs w:val="24"/>
              </w:rPr>
              <w:t>1.本机关不掌握相关政府信息</w:t>
            </w:r>
          </w:p>
        </w:tc>
        <w:tc>
          <w:tcPr>
            <w:tcW w:w="839"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2</w:t>
            </w:r>
          </w:p>
        </w:tc>
        <w:tc>
          <w:tcPr>
            <w:tcW w:w="709"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709"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800"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780"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570"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747"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25" w:type="dxa"/>
            <w:vMerge w:val="continue"/>
            <w:tcBorders>
              <w:top w:val="nil"/>
              <w:left w:val="single" w:color="auto" w:sz="4" w:space="0"/>
              <w:bottom w:val="single" w:color="auto" w:sz="4" w:space="0"/>
              <w:right w:val="single" w:color="auto" w:sz="4" w:space="0"/>
            </w:tcBorders>
            <w:vAlign w:val="center"/>
          </w:tcPr>
          <w:p>
            <w:pPr>
              <w:jc w:val="left"/>
              <w:rPr>
                <w:rFonts w:ascii="仿宋_GB2312" w:eastAsia="仿宋_GB2312"/>
                <w:sz w:val="24"/>
                <w:szCs w:val="24"/>
              </w:rPr>
            </w:pPr>
          </w:p>
        </w:tc>
        <w:tc>
          <w:tcPr>
            <w:tcW w:w="5215" w:type="dxa"/>
            <w:gridSpan w:val="2"/>
            <w:vMerge w:val="continue"/>
            <w:tcBorders>
              <w:top w:val="nil"/>
              <w:left w:val="single" w:color="auto" w:sz="4" w:space="0"/>
              <w:bottom w:val="single" w:color="auto" w:sz="4" w:space="0"/>
              <w:right w:val="single" w:color="auto" w:sz="4" w:space="0"/>
            </w:tcBorders>
            <w:vAlign w:val="center"/>
          </w:tcPr>
          <w:p>
            <w:pPr>
              <w:jc w:val="left"/>
              <w:rPr>
                <w:rFonts w:ascii="仿宋_GB2312" w:eastAsia="仿宋_GB2312"/>
                <w:sz w:val="24"/>
                <w:szCs w:val="24"/>
              </w:rPr>
            </w:pPr>
          </w:p>
        </w:tc>
        <w:tc>
          <w:tcPr>
            <w:tcW w:w="2029"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rPr>
                <w:rFonts w:ascii="仿宋_GB2312" w:eastAsia="仿宋_GB2312"/>
                <w:sz w:val="24"/>
                <w:szCs w:val="24"/>
              </w:rPr>
            </w:pPr>
            <w:r>
              <w:rPr>
                <w:rFonts w:hint="eastAsia" w:ascii="仿宋_GB2312" w:eastAsia="仿宋_GB2312"/>
                <w:sz w:val="24"/>
                <w:szCs w:val="24"/>
              </w:rPr>
              <w:t>2.没有现成信息需要另行制作</w:t>
            </w:r>
          </w:p>
        </w:tc>
        <w:tc>
          <w:tcPr>
            <w:tcW w:w="839"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709"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709"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800"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780"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570"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747"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25" w:type="dxa"/>
            <w:vMerge w:val="continue"/>
            <w:tcBorders>
              <w:top w:val="nil"/>
              <w:left w:val="single" w:color="auto" w:sz="4" w:space="0"/>
              <w:bottom w:val="single" w:color="auto" w:sz="4" w:space="0"/>
              <w:right w:val="single" w:color="auto" w:sz="4" w:space="0"/>
            </w:tcBorders>
            <w:vAlign w:val="center"/>
          </w:tcPr>
          <w:p>
            <w:pPr>
              <w:jc w:val="left"/>
              <w:rPr>
                <w:rFonts w:ascii="仿宋_GB2312" w:eastAsia="仿宋_GB2312"/>
                <w:sz w:val="24"/>
                <w:szCs w:val="24"/>
              </w:rPr>
            </w:pPr>
          </w:p>
        </w:tc>
        <w:tc>
          <w:tcPr>
            <w:tcW w:w="5215" w:type="dxa"/>
            <w:gridSpan w:val="2"/>
            <w:vMerge w:val="continue"/>
            <w:tcBorders>
              <w:top w:val="nil"/>
              <w:left w:val="single" w:color="auto" w:sz="4" w:space="0"/>
              <w:bottom w:val="single" w:color="auto" w:sz="4" w:space="0"/>
              <w:right w:val="single" w:color="auto" w:sz="4" w:space="0"/>
            </w:tcBorders>
            <w:vAlign w:val="center"/>
          </w:tcPr>
          <w:p>
            <w:pPr>
              <w:jc w:val="left"/>
              <w:rPr>
                <w:rFonts w:ascii="仿宋_GB2312" w:eastAsia="仿宋_GB2312"/>
                <w:sz w:val="24"/>
                <w:szCs w:val="24"/>
              </w:rPr>
            </w:pPr>
          </w:p>
        </w:tc>
        <w:tc>
          <w:tcPr>
            <w:tcW w:w="2029"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rPr>
                <w:rFonts w:ascii="仿宋_GB2312" w:eastAsia="仿宋_GB2312"/>
                <w:sz w:val="24"/>
                <w:szCs w:val="24"/>
              </w:rPr>
            </w:pPr>
            <w:r>
              <w:rPr>
                <w:rFonts w:hint="eastAsia" w:ascii="仿宋_GB2312" w:eastAsia="仿宋_GB2312"/>
                <w:sz w:val="24"/>
                <w:szCs w:val="24"/>
              </w:rPr>
              <w:t>3.补正后申请内容仍不明确</w:t>
            </w:r>
          </w:p>
        </w:tc>
        <w:tc>
          <w:tcPr>
            <w:tcW w:w="839"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709"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709"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800"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780"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570"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747"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4225" w:type="dxa"/>
            <w:vMerge w:val="continue"/>
            <w:tcBorders>
              <w:top w:val="nil"/>
              <w:left w:val="single" w:color="auto" w:sz="4" w:space="0"/>
              <w:bottom w:val="single" w:color="auto" w:sz="4" w:space="0"/>
              <w:right w:val="single" w:color="auto" w:sz="4" w:space="0"/>
            </w:tcBorders>
            <w:vAlign w:val="center"/>
          </w:tcPr>
          <w:p>
            <w:pPr>
              <w:jc w:val="left"/>
              <w:rPr>
                <w:rFonts w:ascii="仿宋_GB2312" w:eastAsia="仿宋_GB2312"/>
                <w:sz w:val="24"/>
                <w:szCs w:val="24"/>
              </w:rPr>
            </w:pPr>
          </w:p>
        </w:tc>
        <w:tc>
          <w:tcPr>
            <w:tcW w:w="1141" w:type="dxa"/>
            <w:gridSpan w:val="2"/>
            <w:vMerge w:val="restart"/>
            <w:tcBorders>
              <w:top w:val="nil"/>
              <w:left w:val="single" w:color="auto" w:sz="4" w:space="0"/>
              <w:bottom w:val="single" w:color="auto" w:sz="4" w:space="0"/>
              <w:right w:val="single" w:color="auto" w:sz="4" w:space="0"/>
            </w:tcBorders>
            <w:vAlign w:val="center"/>
          </w:tcPr>
          <w:p>
            <w:pPr>
              <w:widowControl w:val="0"/>
              <w:autoSpaceDE w:val="0"/>
              <w:spacing w:line="400" w:lineRule="exact"/>
              <w:rPr>
                <w:rFonts w:ascii="仿宋_GB2312" w:eastAsia="仿宋_GB2312"/>
                <w:sz w:val="24"/>
                <w:szCs w:val="24"/>
              </w:rPr>
            </w:pPr>
            <w:r>
              <w:rPr>
                <w:rFonts w:hint="eastAsia" w:ascii="仿宋_GB2312" w:eastAsia="仿宋_GB2312"/>
                <w:sz w:val="24"/>
                <w:szCs w:val="24"/>
              </w:rPr>
              <w:t>（五）不予处理</w:t>
            </w:r>
          </w:p>
        </w:tc>
        <w:tc>
          <w:tcPr>
            <w:tcW w:w="2029"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rPr>
                <w:rFonts w:ascii="仿宋_GB2312" w:eastAsia="仿宋_GB2312"/>
                <w:sz w:val="24"/>
                <w:szCs w:val="24"/>
              </w:rPr>
            </w:pPr>
            <w:r>
              <w:rPr>
                <w:rFonts w:hint="eastAsia" w:ascii="仿宋_GB2312" w:eastAsia="仿宋_GB2312"/>
                <w:sz w:val="24"/>
                <w:szCs w:val="24"/>
              </w:rPr>
              <w:t>1.信访举报投诉类申请</w:t>
            </w:r>
          </w:p>
        </w:tc>
        <w:tc>
          <w:tcPr>
            <w:tcW w:w="839"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709"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709"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800"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780"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570"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747"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4225" w:type="dxa"/>
            <w:vMerge w:val="continue"/>
            <w:tcBorders>
              <w:top w:val="nil"/>
              <w:left w:val="single" w:color="auto" w:sz="4" w:space="0"/>
              <w:bottom w:val="single" w:color="auto" w:sz="4" w:space="0"/>
              <w:right w:val="single" w:color="auto" w:sz="4" w:space="0"/>
            </w:tcBorders>
            <w:vAlign w:val="center"/>
          </w:tcPr>
          <w:p>
            <w:pPr>
              <w:jc w:val="left"/>
              <w:rPr>
                <w:rFonts w:ascii="仿宋_GB2312" w:eastAsia="仿宋_GB2312"/>
                <w:sz w:val="24"/>
                <w:szCs w:val="24"/>
              </w:rPr>
            </w:pPr>
          </w:p>
        </w:tc>
        <w:tc>
          <w:tcPr>
            <w:tcW w:w="5215" w:type="dxa"/>
            <w:gridSpan w:val="2"/>
            <w:vMerge w:val="continue"/>
            <w:tcBorders>
              <w:top w:val="nil"/>
              <w:left w:val="single" w:color="auto" w:sz="4" w:space="0"/>
              <w:bottom w:val="single" w:color="auto" w:sz="4" w:space="0"/>
              <w:right w:val="single" w:color="auto" w:sz="4" w:space="0"/>
            </w:tcBorders>
            <w:vAlign w:val="center"/>
          </w:tcPr>
          <w:p>
            <w:pPr>
              <w:jc w:val="left"/>
              <w:rPr>
                <w:rFonts w:ascii="仿宋_GB2312" w:eastAsia="仿宋_GB2312"/>
                <w:sz w:val="24"/>
                <w:szCs w:val="24"/>
              </w:rPr>
            </w:pPr>
          </w:p>
        </w:tc>
        <w:tc>
          <w:tcPr>
            <w:tcW w:w="2029"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rPr>
                <w:rFonts w:ascii="仿宋_GB2312" w:eastAsia="仿宋_GB2312"/>
                <w:sz w:val="24"/>
                <w:szCs w:val="24"/>
              </w:rPr>
            </w:pPr>
            <w:r>
              <w:rPr>
                <w:rFonts w:hint="eastAsia" w:ascii="仿宋_GB2312" w:eastAsia="仿宋_GB2312"/>
                <w:sz w:val="24"/>
                <w:szCs w:val="24"/>
              </w:rPr>
              <w:t>2.重复申请</w:t>
            </w:r>
          </w:p>
        </w:tc>
        <w:tc>
          <w:tcPr>
            <w:tcW w:w="839"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709"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709"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800"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780"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570"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747"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4225" w:type="dxa"/>
            <w:vMerge w:val="continue"/>
            <w:tcBorders>
              <w:top w:val="nil"/>
              <w:left w:val="single" w:color="auto" w:sz="4" w:space="0"/>
              <w:bottom w:val="single" w:color="auto" w:sz="4" w:space="0"/>
              <w:right w:val="single" w:color="auto" w:sz="4" w:space="0"/>
            </w:tcBorders>
            <w:vAlign w:val="center"/>
          </w:tcPr>
          <w:p>
            <w:pPr>
              <w:jc w:val="left"/>
              <w:rPr>
                <w:rFonts w:ascii="仿宋_GB2312" w:eastAsia="仿宋_GB2312"/>
                <w:sz w:val="24"/>
                <w:szCs w:val="24"/>
              </w:rPr>
            </w:pPr>
          </w:p>
        </w:tc>
        <w:tc>
          <w:tcPr>
            <w:tcW w:w="5215" w:type="dxa"/>
            <w:gridSpan w:val="2"/>
            <w:vMerge w:val="continue"/>
            <w:tcBorders>
              <w:top w:val="nil"/>
              <w:left w:val="single" w:color="auto" w:sz="4" w:space="0"/>
              <w:bottom w:val="single" w:color="auto" w:sz="4" w:space="0"/>
              <w:right w:val="single" w:color="auto" w:sz="4" w:space="0"/>
            </w:tcBorders>
            <w:vAlign w:val="center"/>
          </w:tcPr>
          <w:p>
            <w:pPr>
              <w:jc w:val="left"/>
              <w:rPr>
                <w:rFonts w:ascii="仿宋_GB2312" w:eastAsia="仿宋_GB2312"/>
                <w:sz w:val="24"/>
                <w:szCs w:val="24"/>
              </w:rPr>
            </w:pPr>
          </w:p>
        </w:tc>
        <w:tc>
          <w:tcPr>
            <w:tcW w:w="2029"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rPr>
                <w:rFonts w:ascii="仿宋_GB2312" w:eastAsia="仿宋_GB2312"/>
                <w:sz w:val="24"/>
                <w:szCs w:val="24"/>
              </w:rPr>
            </w:pPr>
            <w:r>
              <w:rPr>
                <w:rFonts w:hint="eastAsia" w:ascii="仿宋_GB2312" w:eastAsia="仿宋_GB2312"/>
                <w:sz w:val="24"/>
                <w:szCs w:val="24"/>
              </w:rPr>
              <w:t>3.要求提供公开出版物</w:t>
            </w:r>
          </w:p>
        </w:tc>
        <w:tc>
          <w:tcPr>
            <w:tcW w:w="839"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709"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709"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800"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780"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570"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747"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25" w:type="dxa"/>
            <w:vMerge w:val="continue"/>
            <w:tcBorders>
              <w:top w:val="nil"/>
              <w:left w:val="single" w:color="auto" w:sz="4" w:space="0"/>
              <w:bottom w:val="single" w:color="auto" w:sz="4" w:space="0"/>
              <w:right w:val="single" w:color="auto" w:sz="4" w:space="0"/>
            </w:tcBorders>
            <w:vAlign w:val="center"/>
          </w:tcPr>
          <w:p>
            <w:pPr>
              <w:jc w:val="left"/>
              <w:rPr>
                <w:rFonts w:ascii="仿宋_GB2312" w:eastAsia="仿宋_GB2312"/>
                <w:sz w:val="24"/>
                <w:szCs w:val="24"/>
              </w:rPr>
            </w:pPr>
          </w:p>
        </w:tc>
        <w:tc>
          <w:tcPr>
            <w:tcW w:w="5215" w:type="dxa"/>
            <w:gridSpan w:val="2"/>
            <w:vMerge w:val="continue"/>
            <w:tcBorders>
              <w:top w:val="nil"/>
              <w:left w:val="single" w:color="auto" w:sz="4" w:space="0"/>
              <w:bottom w:val="single" w:color="auto" w:sz="4" w:space="0"/>
              <w:right w:val="single" w:color="auto" w:sz="4" w:space="0"/>
            </w:tcBorders>
            <w:vAlign w:val="center"/>
          </w:tcPr>
          <w:p>
            <w:pPr>
              <w:jc w:val="left"/>
              <w:rPr>
                <w:rFonts w:ascii="仿宋_GB2312" w:eastAsia="仿宋_GB2312"/>
                <w:sz w:val="24"/>
                <w:szCs w:val="24"/>
              </w:rPr>
            </w:pPr>
          </w:p>
        </w:tc>
        <w:tc>
          <w:tcPr>
            <w:tcW w:w="2029"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rPr>
                <w:rFonts w:ascii="仿宋_GB2312" w:eastAsia="仿宋_GB2312"/>
                <w:sz w:val="24"/>
                <w:szCs w:val="24"/>
              </w:rPr>
            </w:pPr>
            <w:r>
              <w:rPr>
                <w:rFonts w:hint="eastAsia" w:ascii="仿宋_GB2312" w:eastAsia="仿宋_GB2312"/>
                <w:sz w:val="24"/>
                <w:szCs w:val="24"/>
              </w:rPr>
              <w:t>4.无正当理由大量反复申请</w:t>
            </w:r>
          </w:p>
        </w:tc>
        <w:tc>
          <w:tcPr>
            <w:tcW w:w="839"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709"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709"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800"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780"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570"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747"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25" w:type="dxa"/>
            <w:vMerge w:val="continue"/>
            <w:tcBorders>
              <w:top w:val="nil"/>
              <w:left w:val="single" w:color="auto" w:sz="4" w:space="0"/>
              <w:bottom w:val="single" w:color="auto" w:sz="4" w:space="0"/>
              <w:right w:val="single" w:color="auto" w:sz="4" w:space="0"/>
            </w:tcBorders>
            <w:vAlign w:val="center"/>
          </w:tcPr>
          <w:p>
            <w:pPr>
              <w:jc w:val="left"/>
              <w:rPr>
                <w:rFonts w:ascii="仿宋_GB2312" w:eastAsia="仿宋_GB2312"/>
                <w:sz w:val="24"/>
                <w:szCs w:val="24"/>
              </w:rPr>
            </w:pPr>
          </w:p>
        </w:tc>
        <w:tc>
          <w:tcPr>
            <w:tcW w:w="5215" w:type="dxa"/>
            <w:gridSpan w:val="2"/>
            <w:vMerge w:val="continue"/>
            <w:tcBorders>
              <w:top w:val="nil"/>
              <w:left w:val="single" w:color="auto" w:sz="4" w:space="0"/>
              <w:bottom w:val="single" w:color="auto" w:sz="4" w:space="0"/>
              <w:right w:val="single" w:color="auto" w:sz="4" w:space="0"/>
            </w:tcBorders>
            <w:vAlign w:val="center"/>
          </w:tcPr>
          <w:p>
            <w:pPr>
              <w:jc w:val="left"/>
              <w:rPr>
                <w:rFonts w:ascii="仿宋_GB2312" w:eastAsia="仿宋_GB2312"/>
                <w:sz w:val="24"/>
                <w:szCs w:val="24"/>
              </w:rPr>
            </w:pPr>
          </w:p>
        </w:tc>
        <w:tc>
          <w:tcPr>
            <w:tcW w:w="2029"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rPr>
                <w:rFonts w:ascii="仿宋_GB2312" w:eastAsia="仿宋_GB2312"/>
                <w:sz w:val="24"/>
                <w:szCs w:val="24"/>
              </w:rPr>
            </w:pPr>
            <w:r>
              <w:rPr>
                <w:rFonts w:hint="eastAsia" w:ascii="仿宋_GB2312" w:eastAsia="仿宋_GB2312"/>
                <w:sz w:val="24"/>
                <w:szCs w:val="24"/>
              </w:rPr>
              <w:t>5.要求行政机关确认或重新出具已获取信息</w:t>
            </w:r>
          </w:p>
        </w:tc>
        <w:tc>
          <w:tcPr>
            <w:tcW w:w="839"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709"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709"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800"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780"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570"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747"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4225" w:type="dxa"/>
            <w:vMerge w:val="continue"/>
            <w:tcBorders>
              <w:top w:val="nil"/>
              <w:left w:val="single" w:color="auto" w:sz="4" w:space="0"/>
              <w:bottom w:val="single" w:color="auto" w:sz="4" w:space="0"/>
              <w:right w:val="single" w:color="auto" w:sz="4" w:space="0"/>
            </w:tcBorders>
            <w:vAlign w:val="center"/>
          </w:tcPr>
          <w:p>
            <w:pPr>
              <w:jc w:val="left"/>
              <w:rPr>
                <w:rFonts w:ascii="仿宋_GB2312" w:eastAsia="仿宋_GB2312"/>
                <w:sz w:val="24"/>
                <w:szCs w:val="24"/>
              </w:rPr>
            </w:pPr>
          </w:p>
        </w:tc>
        <w:tc>
          <w:tcPr>
            <w:tcW w:w="1125" w:type="dxa"/>
            <w:vMerge w:val="restart"/>
            <w:tcBorders>
              <w:top w:val="nil"/>
              <w:left w:val="single" w:color="auto" w:sz="4" w:space="0"/>
              <w:bottom w:val="single" w:color="auto" w:sz="4" w:space="0"/>
              <w:right w:val="single" w:color="auto" w:sz="4" w:space="0"/>
            </w:tcBorders>
            <w:vAlign w:val="center"/>
          </w:tcPr>
          <w:p>
            <w:pPr>
              <w:widowControl w:val="0"/>
              <w:autoSpaceDE w:val="0"/>
              <w:spacing w:line="400" w:lineRule="exact"/>
              <w:rPr>
                <w:rFonts w:ascii="仿宋_GB2312" w:eastAsia="仿宋_GB2312"/>
                <w:sz w:val="24"/>
                <w:szCs w:val="24"/>
              </w:rPr>
            </w:pPr>
            <w:r>
              <w:rPr>
                <w:rFonts w:hint="eastAsia" w:ascii="仿宋_GB2312" w:eastAsia="仿宋_GB2312"/>
                <w:sz w:val="24"/>
                <w:szCs w:val="24"/>
              </w:rPr>
              <w:t>（六）其他处理</w:t>
            </w:r>
          </w:p>
        </w:tc>
        <w:tc>
          <w:tcPr>
            <w:tcW w:w="2045" w:type="dxa"/>
            <w:gridSpan w:val="2"/>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rPr>
                <w:rFonts w:ascii="仿宋_GB2312" w:eastAsia="仿宋_GB2312"/>
                <w:sz w:val="24"/>
                <w:szCs w:val="24"/>
              </w:rPr>
            </w:pPr>
            <w:r>
              <w:rPr>
                <w:rFonts w:hint="eastAsia" w:ascii="仿宋_GB2312" w:eastAsia="仿宋_GB2312"/>
                <w:sz w:val="24"/>
                <w:szCs w:val="24"/>
              </w:rPr>
              <w:t>1.申请人无正当理由逾期不补正、行政机关不再处理其政府信息公开申请</w:t>
            </w:r>
          </w:p>
        </w:tc>
        <w:tc>
          <w:tcPr>
            <w:tcW w:w="839"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709"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709"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800"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780"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570"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747"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jc w:val="center"/>
        </w:trPr>
        <w:tc>
          <w:tcPr>
            <w:tcW w:w="4225" w:type="dxa"/>
            <w:vMerge w:val="continue"/>
            <w:tcBorders>
              <w:top w:val="nil"/>
              <w:left w:val="single" w:color="auto" w:sz="4" w:space="0"/>
              <w:bottom w:val="single" w:color="auto" w:sz="4" w:space="0"/>
              <w:right w:val="single" w:color="auto" w:sz="4" w:space="0"/>
            </w:tcBorders>
            <w:vAlign w:val="center"/>
          </w:tcPr>
          <w:p>
            <w:pPr>
              <w:jc w:val="left"/>
              <w:rPr>
                <w:rFonts w:ascii="仿宋_GB2312" w:eastAsia="仿宋_GB2312"/>
                <w:sz w:val="24"/>
                <w:szCs w:val="24"/>
              </w:rPr>
            </w:pPr>
          </w:p>
        </w:tc>
        <w:tc>
          <w:tcPr>
            <w:tcW w:w="3170" w:type="dxa"/>
            <w:vMerge w:val="continue"/>
            <w:tcBorders>
              <w:top w:val="nil"/>
              <w:left w:val="single" w:color="auto" w:sz="4" w:space="0"/>
              <w:bottom w:val="single" w:color="auto" w:sz="4" w:space="0"/>
              <w:right w:val="single" w:color="auto" w:sz="4" w:space="0"/>
            </w:tcBorders>
            <w:vAlign w:val="center"/>
          </w:tcPr>
          <w:p>
            <w:pPr>
              <w:jc w:val="left"/>
              <w:rPr>
                <w:rFonts w:ascii="仿宋_GB2312" w:eastAsia="仿宋_GB2312"/>
                <w:sz w:val="24"/>
                <w:szCs w:val="24"/>
              </w:rPr>
            </w:pPr>
          </w:p>
        </w:tc>
        <w:tc>
          <w:tcPr>
            <w:tcW w:w="2045" w:type="dxa"/>
            <w:gridSpan w:val="2"/>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rPr>
                <w:rFonts w:ascii="仿宋_GB2312" w:eastAsia="仿宋_GB2312"/>
                <w:sz w:val="24"/>
                <w:szCs w:val="24"/>
              </w:rPr>
            </w:pPr>
            <w:r>
              <w:rPr>
                <w:rFonts w:hint="eastAsia" w:ascii="仿宋_GB2312" w:eastAsia="仿宋_GB2312"/>
                <w:sz w:val="24"/>
                <w:szCs w:val="24"/>
              </w:rPr>
              <w:t>2.申请人逾期未按收费通知要求缴纳费用、行政机关不再处理其政府信息公开申请</w:t>
            </w:r>
          </w:p>
        </w:tc>
        <w:tc>
          <w:tcPr>
            <w:tcW w:w="839"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709"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709"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800"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780"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570"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747"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jc w:val="center"/>
        </w:trPr>
        <w:tc>
          <w:tcPr>
            <w:tcW w:w="4225" w:type="dxa"/>
            <w:vMerge w:val="continue"/>
            <w:tcBorders>
              <w:top w:val="nil"/>
              <w:left w:val="single" w:color="auto" w:sz="4" w:space="0"/>
              <w:bottom w:val="single" w:color="auto" w:sz="4" w:space="0"/>
              <w:right w:val="single" w:color="auto" w:sz="4" w:space="0"/>
            </w:tcBorders>
            <w:vAlign w:val="center"/>
          </w:tcPr>
          <w:p>
            <w:pPr>
              <w:jc w:val="left"/>
              <w:rPr>
                <w:rFonts w:ascii="仿宋_GB2312" w:eastAsia="仿宋_GB2312"/>
                <w:sz w:val="24"/>
                <w:szCs w:val="24"/>
              </w:rPr>
            </w:pPr>
          </w:p>
        </w:tc>
        <w:tc>
          <w:tcPr>
            <w:tcW w:w="3170" w:type="dxa"/>
            <w:vMerge w:val="continue"/>
            <w:tcBorders>
              <w:top w:val="nil"/>
              <w:left w:val="single" w:color="auto" w:sz="4" w:space="0"/>
              <w:bottom w:val="single" w:color="auto" w:sz="4" w:space="0"/>
              <w:right w:val="single" w:color="auto" w:sz="4" w:space="0"/>
            </w:tcBorders>
            <w:vAlign w:val="center"/>
          </w:tcPr>
          <w:p>
            <w:pPr>
              <w:jc w:val="left"/>
              <w:rPr>
                <w:rFonts w:ascii="仿宋_GB2312" w:eastAsia="仿宋_GB2312"/>
                <w:sz w:val="24"/>
                <w:szCs w:val="24"/>
              </w:rPr>
            </w:pPr>
          </w:p>
        </w:tc>
        <w:tc>
          <w:tcPr>
            <w:tcW w:w="2045" w:type="dxa"/>
            <w:gridSpan w:val="2"/>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rPr>
                <w:rFonts w:ascii="仿宋_GB2312" w:eastAsia="仿宋_GB2312"/>
                <w:sz w:val="24"/>
                <w:szCs w:val="24"/>
              </w:rPr>
            </w:pPr>
            <w:r>
              <w:rPr>
                <w:rFonts w:hint="eastAsia" w:ascii="仿宋_GB2312" w:eastAsia="仿宋_GB2312"/>
                <w:sz w:val="24"/>
                <w:szCs w:val="24"/>
              </w:rPr>
              <w:t>3.其他</w:t>
            </w:r>
          </w:p>
        </w:tc>
        <w:tc>
          <w:tcPr>
            <w:tcW w:w="839"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709"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709"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800"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780"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570"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747"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4225" w:type="dxa"/>
            <w:vMerge w:val="continue"/>
            <w:tcBorders>
              <w:top w:val="nil"/>
              <w:left w:val="single" w:color="auto" w:sz="4" w:space="0"/>
              <w:bottom w:val="single" w:color="auto" w:sz="4" w:space="0"/>
              <w:right w:val="single" w:color="auto" w:sz="4" w:space="0"/>
            </w:tcBorders>
            <w:vAlign w:val="center"/>
          </w:tcPr>
          <w:p>
            <w:pPr>
              <w:jc w:val="left"/>
              <w:rPr>
                <w:rFonts w:ascii="仿宋_GB2312" w:eastAsia="仿宋_GB2312"/>
                <w:sz w:val="24"/>
                <w:szCs w:val="24"/>
              </w:rPr>
            </w:pPr>
          </w:p>
        </w:tc>
        <w:tc>
          <w:tcPr>
            <w:tcW w:w="3170" w:type="dxa"/>
            <w:gridSpan w:val="3"/>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rPr>
                <w:rFonts w:ascii="仿宋_GB2312" w:eastAsia="仿宋_GB2312"/>
                <w:sz w:val="24"/>
                <w:szCs w:val="24"/>
              </w:rPr>
            </w:pPr>
            <w:r>
              <w:rPr>
                <w:rFonts w:hint="eastAsia" w:ascii="仿宋_GB2312" w:eastAsia="仿宋_GB2312"/>
                <w:sz w:val="24"/>
                <w:szCs w:val="24"/>
              </w:rPr>
              <w:t>（七）总计</w:t>
            </w:r>
          </w:p>
        </w:tc>
        <w:tc>
          <w:tcPr>
            <w:tcW w:w="839"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709"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709"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800"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780"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570"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747"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jc w:val="center"/>
        </w:trPr>
        <w:tc>
          <w:tcPr>
            <w:tcW w:w="4225" w:type="dxa"/>
            <w:gridSpan w:val="4"/>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rPr>
                <w:rFonts w:ascii="仿宋_GB2312" w:eastAsia="仿宋_GB2312"/>
                <w:sz w:val="24"/>
                <w:szCs w:val="24"/>
              </w:rPr>
            </w:pPr>
            <w:r>
              <w:rPr>
                <w:rFonts w:hint="eastAsia" w:ascii="仿宋_GB2312" w:eastAsia="仿宋_GB2312"/>
                <w:sz w:val="24"/>
                <w:szCs w:val="24"/>
              </w:rPr>
              <w:t>四、转结下年度继续办理</w:t>
            </w:r>
          </w:p>
        </w:tc>
        <w:tc>
          <w:tcPr>
            <w:tcW w:w="839"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709"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709"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800"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780"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570"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747"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r>
    </w:tbl>
    <w:p>
      <w:pPr>
        <w:widowControl w:val="0"/>
        <w:autoSpaceDE w:val="0"/>
        <w:spacing w:beforeLines="100" w:afterLines="50" w:line="400" w:lineRule="exact"/>
        <w:ind w:firstLine="640" w:firstLineChars="200"/>
        <w:outlineLvl w:val="0"/>
        <w:rPr>
          <w:rFonts w:hint="eastAsia" w:ascii="黑体" w:hAnsi="黑体" w:eastAsia="黑体"/>
          <w:sz w:val="32"/>
          <w:szCs w:val="32"/>
        </w:rPr>
      </w:pPr>
      <w:r>
        <w:rPr>
          <w:rFonts w:hint="eastAsia" w:ascii="黑体" w:hAnsi="黑体" w:eastAsia="黑体"/>
          <w:color w:val="000000"/>
          <w:sz w:val="32"/>
          <w:szCs w:val="32"/>
          <w:shd w:val="clear" w:color="auto" w:fill="FFFFFF"/>
        </w:rPr>
        <w:t>四、政府信息公开行政复议、行政诉讼情况</w:t>
      </w:r>
    </w:p>
    <w:tbl>
      <w:tblPr>
        <w:tblStyle w:val="3"/>
        <w:tblW w:w="93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1"/>
        <w:gridCol w:w="553"/>
        <w:gridCol w:w="553"/>
        <w:gridCol w:w="520"/>
        <w:gridCol w:w="586"/>
        <w:gridCol w:w="629"/>
        <w:gridCol w:w="477"/>
        <w:gridCol w:w="553"/>
        <w:gridCol w:w="470"/>
        <w:gridCol w:w="636"/>
        <w:gridCol w:w="553"/>
        <w:gridCol w:w="553"/>
        <w:gridCol w:w="553"/>
        <w:gridCol w:w="553"/>
        <w:gridCol w:w="15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73" w:type="dxa"/>
            <w:gridSpan w:val="5"/>
            <w:vMerge w:val="restart"/>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黑体" w:hAnsi="黑体" w:eastAsia="黑体"/>
                <w:sz w:val="24"/>
                <w:szCs w:val="24"/>
              </w:rPr>
            </w:pPr>
            <w:r>
              <w:rPr>
                <w:rFonts w:hint="eastAsia" w:ascii="黑体" w:hAnsi="黑体" w:eastAsia="黑体"/>
                <w:sz w:val="24"/>
                <w:szCs w:val="24"/>
              </w:rPr>
              <w:t>行政复议</w:t>
            </w:r>
          </w:p>
        </w:tc>
        <w:tc>
          <w:tcPr>
            <w:tcW w:w="6493" w:type="dxa"/>
            <w:gridSpan w:val="10"/>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黑体" w:hAnsi="黑体" w:eastAsia="黑体"/>
                <w:sz w:val="24"/>
                <w:szCs w:val="24"/>
              </w:rPr>
            </w:pPr>
            <w:r>
              <w:rPr>
                <w:rFonts w:hint="eastAsia" w:ascii="黑体" w:hAnsi="黑体" w:eastAsia="黑体"/>
                <w:sz w:val="24"/>
                <w:szCs w:val="24"/>
              </w:rPr>
              <w:t>行政诉讼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5" w:type="dxa"/>
            <w:gridSpan w:val="5"/>
            <w:vMerge w:val="continue"/>
            <w:tcBorders>
              <w:top w:val="single" w:color="auto" w:sz="4" w:space="0"/>
              <w:left w:val="single" w:color="auto" w:sz="4" w:space="0"/>
              <w:bottom w:val="single" w:color="auto" w:sz="4" w:space="0"/>
              <w:right w:val="single" w:color="auto" w:sz="4" w:space="0"/>
            </w:tcBorders>
            <w:vAlign w:val="center"/>
          </w:tcPr>
          <w:p>
            <w:pPr>
              <w:jc w:val="left"/>
              <w:rPr>
                <w:rFonts w:ascii="黑体" w:hAnsi="黑体" w:eastAsia="黑体"/>
                <w:sz w:val="24"/>
                <w:szCs w:val="24"/>
              </w:rPr>
            </w:pPr>
          </w:p>
        </w:tc>
        <w:tc>
          <w:tcPr>
            <w:tcW w:w="2765" w:type="dxa"/>
            <w:gridSpan w:val="5"/>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黑体" w:hAnsi="黑体" w:eastAsia="黑体"/>
                <w:sz w:val="24"/>
                <w:szCs w:val="24"/>
              </w:rPr>
            </w:pPr>
            <w:r>
              <w:rPr>
                <w:rFonts w:hint="eastAsia" w:ascii="黑体" w:hAnsi="黑体" w:eastAsia="黑体"/>
                <w:sz w:val="24"/>
                <w:szCs w:val="24"/>
              </w:rPr>
              <w:t>未经复议直接起诉</w:t>
            </w:r>
          </w:p>
        </w:tc>
        <w:tc>
          <w:tcPr>
            <w:tcW w:w="3728" w:type="dxa"/>
            <w:gridSpan w:val="5"/>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黑体" w:hAnsi="黑体" w:eastAsia="黑体"/>
                <w:sz w:val="24"/>
                <w:szCs w:val="24"/>
              </w:rPr>
            </w:pPr>
            <w:r>
              <w:rPr>
                <w:rFonts w:hint="eastAsia" w:ascii="黑体" w:hAnsi="黑体" w:eastAsia="黑体"/>
                <w:sz w:val="24"/>
                <w:szCs w:val="24"/>
              </w:rPr>
              <w:t>复议后起诉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1"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结果维持</w:t>
            </w:r>
          </w:p>
        </w:tc>
        <w:tc>
          <w:tcPr>
            <w:tcW w:w="553"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结果纠正</w:t>
            </w:r>
          </w:p>
        </w:tc>
        <w:tc>
          <w:tcPr>
            <w:tcW w:w="553"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其他结果</w:t>
            </w:r>
          </w:p>
        </w:tc>
        <w:tc>
          <w:tcPr>
            <w:tcW w:w="520"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尚未审结</w:t>
            </w:r>
          </w:p>
        </w:tc>
        <w:tc>
          <w:tcPr>
            <w:tcW w:w="586"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总计</w:t>
            </w:r>
          </w:p>
        </w:tc>
        <w:tc>
          <w:tcPr>
            <w:tcW w:w="629"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结果维持</w:t>
            </w:r>
          </w:p>
        </w:tc>
        <w:tc>
          <w:tcPr>
            <w:tcW w:w="477"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结果纠正</w:t>
            </w:r>
          </w:p>
        </w:tc>
        <w:tc>
          <w:tcPr>
            <w:tcW w:w="553"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其他结果</w:t>
            </w:r>
          </w:p>
        </w:tc>
        <w:tc>
          <w:tcPr>
            <w:tcW w:w="470"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尚未审结</w:t>
            </w:r>
          </w:p>
        </w:tc>
        <w:tc>
          <w:tcPr>
            <w:tcW w:w="636"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总计</w:t>
            </w:r>
          </w:p>
        </w:tc>
        <w:tc>
          <w:tcPr>
            <w:tcW w:w="553"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结果维持</w:t>
            </w:r>
          </w:p>
        </w:tc>
        <w:tc>
          <w:tcPr>
            <w:tcW w:w="553"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结果纠正</w:t>
            </w:r>
          </w:p>
        </w:tc>
        <w:tc>
          <w:tcPr>
            <w:tcW w:w="553"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其他结果</w:t>
            </w:r>
          </w:p>
        </w:tc>
        <w:tc>
          <w:tcPr>
            <w:tcW w:w="553"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尚未审结</w:t>
            </w:r>
          </w:p>
        </w:tc>
        <w:tc>
          <w:tcPr>
            <w:tcW w:w="1516"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总计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0" w:hRule="atLeast"/>
          <w:jc w:val="center"/>
        </w:trPr>
        <w:tc>
          <w:tcPr>
            <w:tcW w:w="661"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553"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553"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520"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1</w:t>
            </w:r>
          </w:p>
        </w:tc>
        <w:tc>
          <w:tcPr>
            <w:tcW w:w="586"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1</w:t>
            </w:r>
          </w:p>
        </w:tc>
        <w:tc>
          <w:tcPr>
            <w:tcW w:w="629"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477"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553"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470"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636"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553"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553"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553"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553"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c>
          <w:tcPr>
            <w:tcW w:w="1516" w:type="dxa"/>
            <w:tcBorders>
              <w:top w:val="single" w:color="auto" w:sz="4" w:space="0"/>
              <w:left w:val="single" w:color="auto" w:sz="4" w:space="0"/>
              <w:bottom w:val="single" w:color="auto" w:sz="4" w:space="0"/>
              <w:right w:val="single" w:color="auto" w:sz="4" w:space="0"/>
            </w:tcBorders>
            <w:vAlign w:val="center"/>
          </w:tcPr>
          <w:p>
            <w:pPr>
              <w:widowControl w:val="0"/>
              <w:autoSpaceDE w:val="0"/>
              <w:spacing w:line="400" w:lineRule="exact"/>
              <w:jc w:val="center"/>
              <w:rPr>
                <w:rFonts w:ascii="仿宋_GB2312" w:eastAsia="仿宋_GB2312"/>
                <w:sz w:val="24"/>
                <w:szCs w:val="24"/>
              </w:rPr>
            </w:pPr>
            <w:r>
              <w:rPr>
                <w:rFonts w:hint="eastAsia" w:ascii="仿宋_GB2312" w:eastAsia="仿宋_GB2312"/>
                <w:sz w:val="24"/>
                <w:szCs w:val="24"/>
              </w:rPr>
              <w:t>0</w:t>
            </w:r>
          </w:p>
        </w:tc>
      </w:tr>
    </w:tbl>
    <w:p>
      <w:pPr>
        <w:autoSpaceDE w:val="0"/>
        <w:spacing w:line="560" w:lineRule="exact"/>
        <w:jc w:val="left"/>
        <w:rPr>
          <w:rFonts w:hint="eastAsia"/>
        </w:rPr>
      </w:pPr>
      <w:r>
        <w:t xml:space="preserve"> </w:t>
      </w:r>
    </w:p>
    <w:p>
      <w:pPr>
        <w:pStyle w:val="2"/>
        <w:autoSpaceDE w:val="0"/>
        <w:spacing w:line="560" w:lineRule="exact"/>
        <w:ind w:firstLine="640" w:firstLineChars="200"/>
        <w:jc w:val="both"/>
        <w:rPr>
          <w:rFonts w:ascii="黑体" w:hAnsi="黑体" w:eastAsia="黑体"/>
          <w:bCs/>
          <w:color w:val="000000"/>
          <w:sz w:val="32"/>
          <w:szCs w:val="32"/>
        </w:rPr>
      </w:pPr>
      <w:r>
        <w:rPr>
          <w:rFonts w:hint="eastAsia" w:ascii="黑体" w:hAnsi="黑体" w:eastAsia="黑体"/>
          <w:bCs/>
          <w:color w:val="000000"/>
          <w:sz w:val="32"/>
          <w:szCs w:val="32"/>
        </w:rPr>
        <w:t>五、存在的主要问题及改进情况</w:t>
      </w:r>
    </w:p>
    <w:p>
      <w:pPr>
        <w:pStyle w:val="2"/>
        <w:autoSpaceDE w:val="0"/>
        <w:spacing w:line="560" w:lineRule="exact"/>
        <w:ind w:firstLine="640" w:firstLineChars="200"/>
        <w:jc w:val="both"/>
        <w:rPr>
          <w:rFonts w:hint="eastAsia" w:ascii="仿宋" w:hAnsi="仿宋" w:eastAsia="仿宋"/>
          <w:color w:val="333333"/>
          <w:sz w:val="32"/>
          <w:szCs w:val="32"/>
          <w:shd w:val="clear" w:color="auto" w:fill="FFFFFF"/>
        </w:rPr>
      </w:pPr>
      <w:r>
        <w:rPr>
          <w:rFonts w:hint="eastAsia" w:ascii="仿宋" w:hAnsi="仿宋" w:eastAsia="仿宋"/>
          <w:color w:val="333333"/>
          <w:sz w:val="32"/>
          <w:szCs w:val="32"/>
          <w:shd w:val="clear" w:color="auto" w:fill="FFFFFF"/>
        </w:rPr>
        <w:t>2024年，柴桥街道在政府信息公开工作中，在拓展公开渠道、回应社会关切等方面虽然取得一定成效，但距离上级要求仍存在一些差距，如以政务公开促进基层治理上缺少闭环。政务公开文件中，多数出发点停留在宣传政策和解读文件，主动回应生产、生活事项较多，但仍停留在宣讲层面，未能结合综治等工作，形成“主动回应—化解矛盾”的有效闭环。下一步，柴桥街道将按照上级政务公开工作最新要求，进一步健全政务公开工作监督落实机制，确保信息公开内容的时效性，扩展覆盖面，健全信息公开与人民群众的互动机制，畅通群众表达诉求、反映意见的渠道。</w:t>
      </w:r>
    </w:p>
    <w:p>
      <w:pPr>
        <w:pStyle w:val="2"/>
        <w:autoSpaceDE w:val="0"/>
        <w:spacing w:line="560" w:lineRule="exact"/>
        <w:ind w:firstLine="640" w:firstLineChars="200"/>
        <w:jc w:val="both"/>
        <w:rPr>
          <w:rFonts w:hint="eastAsia" w:ascii="黑体" w:hAnsi="黑体" w:eastAsia="黑体"/>
          <w:bCs/>
          <w:color w:val="000000"/>
          <w:sz w:val="32"/>
          <w:szCs w:val="32"/>
        </w:rPr>
      </w:pPr>
      <w:r>
        <w:rPr>
          <w:rFonts w:hint="eastAsia" w:ascii="黑体" w:hAnsi="黑体" w:eastAsia="黑体"/>
          <w:bCs/>
          <w:color w:val="000000"/>
          <w:sz w:val="32"/>
          <w:szCs w:val="32"/>
        </w:rPr>
        <w:t>六、其他需要报告的事项</w:t>
      </w:r>
    </w:p>
    <w:p>
      <w:pPr>
        <w:pStyle w:val="2"/>
        <w:autoSpaceDE w:val="0"/>
        <w:spacing w:line="560" w:lineRule="exact"/>
        <w:ind w:firstLine="640" w:firstLineChars="200"/>
        <w:jc w:val="both"/>
        <w:rPr>
          <w:rFonts w:hint="eastAsia" w:ascii="仿宋" w:hAnsi="仿宋" w:eastAsia="仿宋"/>
          <w:color w:val="333333"/>
          <w:sz w:val="32"/>
          <w:szCs w:val="32"/>
          <w:shd w:val="clear" w:color="auto" w:fill="FFFFFF"/>
        </w:rPr>
      </w:pPr>
      <w:r>
        <w:rPr>
          <w:rFonts w:hint="eastAsia" w:ascii="仿宋" w:hAnsi="仿宋" w:eastAsia="仿宋"/>
          <w:color w:val="333333"/>
          <w:sz w:val="32"/>
          <w:szCs w:val="32"/>
          <w:shd w:val="clear" w:color="auto" w:fill="FFFFFF"/>
        </w:rPr>
        <w:t>本街道全年没有收到超出一定数量或者频次范围的政府公开申请，也未对申请人收取信息处理费。</w:t>
      </w:r>
    </w:p>
    <w:p>
      <w:pPr>
        <w:pStyle w:val="2"/>
        <w:autoSpaceDE w:val="0"/>
        <w:spacing w:line="560" w:lineRule="exact"/>
        <w:ind w:firstLine="640" w:firstLineChars="200"/>
        <w:jc w:val="both"/>
        <w:rPr>
          <w:rFonts w:hint="eastAsia" w:ascii="仿宋" w:hAnsi="仿宋" w:eastAsia="仿宋"/>
          <w:color w:val="333333"/>
          <w:sz w:val="32"/>
          <w:szCs w:val="32"/>
          <w:shd w:val="clear" w:color="auto" w:fill="FFFFFF"/>
        </w:rPr>
      </w:pPr>
      <w:r>
        <w:rPr>
          <w:rFonts w:hint="eastAsia" w:ascii="仿宋" w:hAnsi="仿宋" w:eastAsia="仿宋"/>
          <w:color w:val="333333"/>
          <w:sz w:val="32"/>
          <w:szCs w:val="32"/>
          <w:shd w:val="clear" w:color="auto" w:fill="FFFFFF"/>
        </w:rPr>
        <w:t>特此说明。</w:t>
      </w:r>
    </w:p>
    <w:p>
      <w:pPr>
        <w:shd w:val="clear" w:color="auto" w:fill="FFFFFF"/>
        <w:autoSpaceDE w:val="0"/>
        <w:spacing w:line="560" w:lineRule="exact"/>
        <w:ind w:left="640"/>
        <w:jc w:val="right"/>
        <w:rPr>
          <w:rFonts w:hint="eastAsia" w:ascii="仿宋" w:hAnsi="仿宋" w:eastAsia="仿宋"/>
          <w:color w:val="333333"/>
          <w:kern w:val="0"/>
          <w:sz w:val="32"/>
          <w:szCs w:val="32"/>
          <w:shd w:val="clear" w:color="auto" w:fill="FFFFFF"/>
        </w:rPr>
      </w:pPr>
      <w:r>
        <w:rPr>
          <w:rFonts w:hint="eastAsia" w:ascii="仿宋" w:hAnsi="仿宋" w:eastAsia="仿宋"/>
          <w:color w:val="333333"/>
          <w:kern w:val="0"/>
          <w:sz w:val="32"/>
          <w:szCs w:val="32"/>
          <w:shd w:val="clear" w:color="auto" w:fill="FFFFFF"/>
        </w:rPr>
        <w:t>柴桥街道办事处</w:t>
      </w:r>
    </w:p>
    <w:p>
      <w:pPr>
        <w:shd w:val="clear" w:color="auto" w:fill="FFFFFF"/>
        <w:autoSpaceDE w:val="0"/>
        <w:spacing w:line="560" w:lineRule="exact"/>
        <w:ind w:left="640"/>
        <w:jc w:val="right"/>
        <w:rPr>
          <w:rFonts w:hint="eastAsia" w:ascii="仿宋" w:hAnsi="仿宋" w:eastAsia="仿宋"/>
          <w:color w:val="333333"/>
          <w:kern w:val="0"/>
          <w:sz w:val="32"/>
          <w:szCs w:val="32"/>
          <w:shd w:val="clear" w:color="auto" w:fill="FFFFFF"/>
        </w:rPr>
      </w:pPr>
      <w:r>
        <w:rPr>
          <w:rFonts w:hint="eastAsia" w:ascii="仿宋" w:hAnsi="仿宋" w:eastAsia="仿宋"/>
          <w:color w:val="333333"/>
          <w:kern w:val="0"/>
          <w:sz w:val="32"/>
          <w:szCs w:val="32"/>
          <w:shd w:val="clear" w:color="auto" w:fill="FFFFFF"/>
        </w:rPr>
        <w:t>2025年1月4日</w:t>
      </w:r>
    </w:p>
    <w:p>
      <w:pPr>
        <w:pStyle w:val="2"/>
        <w:autoSpaceDE w:val="0"/>
        <w:spacing w:line="560" w:lineRule="exact"/>
        <w:ind w:firstLine="420"/>
        <w:jc w:val="both"/>
        <w:rPr>
          <w:rFonts w:hint="eastAsia" w:ascii="仿宋" w:hAnsi="仿宋" w:eastAsia="仿宋"/>
          <w:color w:val="333333"/>
          <w:sz w:val="32"/>
          <w:szCs w:val="32"/>
          <w:shd w:val="clear" w:color="auto" w:fill="FFFFFF"/>
        </w:rPr>
      </w:pPr>
      <w:r>
        <w:rPr>
          <w:rFonts w:hint="eastAsia" w:ascii="仿宋" w:hAnsi="仿宋" w:eastAsia="仿宋"/>
          <w:color w:val="333333"/>
          <w:sz w:val="32"/>
          <w:szCs w:val="32"/>
          <w:shd w:val="clear" w:color="auto" w:fill="FFFFFF"/>
        </w:rPr>
        <w:t xml:space="preserve"> </w:t>
      </w:r>
    </w:p>
    <w:p>
      <w:pPr>
        <w:pStyle w:val="2"/>
        <w:autoSpaceDE w:val="0"/>
        <w:spacing w:line="560" w:lineRule="exact"/>
        <w:ind w:firstLine="420"/>
        <w:jc w:val="both"/>
        <w:rPr>
          <w:rFonts w:hint="eastAsia" w:ascii="仿宋" w:hAnsi="仿宋" w:eastAsia="仿宋"/>
          <w:color w:val="333333"/>
          <w:sz w:val="32"/>
          <w:szCs w:val="32"/>
          <w:shd w:val="clear" w:color="auto" w:fill="FFFFFF"/>
        </w:rPr>
      </w:pPr>
      <w:r>
        <w:rPr>
          <w:rFonts w:hint="eastAsia" w:ascii="仿宋" w:hAnsi="仿宋" w:eastAsia="仿宋"/>
          <w:color w:val="333333"/>
          <w:sz w:val="32"/>
          <w:szCs w:val="32"/>
          <w:shd w:val="clear" w:color="auto" w:fill="FFFFFF"/>
        </w:rPr>
        <w:t xml:space="preserve"> </w:t>
      </w:r>
    </w:p>
    <w:p>
      <w:pPr>
        <w:pStyle w:val="2"/>
        <w:autoSpaceDE w:val="0"/>
        <w:spacing w:line="560" w:lineRule="exact"/>
        <w:ind w:firstLine="420"/>
        <w:jc w:val="both"/>
        <w:rPr>
          <w:rFonts w:hint="eastAsia" w:ascii="仿宋" w:hAnsi="仿宋" w:eastAsia="仿宋"/>
          <w:color w:val="333333"/>
          <w:sz w:val="32"/>
          <w:szCs w:val="32"/>
          <w:shd w:val="clear" w:color="auto" w:fill="FFFFFF"/>
        </w:rPr>
      </w:pPr>
      <w:r>
        <w:rPr>
          <w:rFonts w:hint="eastAsia" w:ascii="仿宋" w:hAnsi="仿宋" w:eastAsia="仿宋"/>
          <w:color w:val="333333"/>
          <w:sz w:val="32"/>
          <w:szCs w:val="32"/>
          <w:shd w:val="clear" w:color="auto" w:fill="FFFFFF"/>
        </w:rPr>
        <w:t xml:space="preserve"> </w:t>
      </w:r>
    </w:p>
    <w:p>
      <w:pPr>
        <w:pStyle w:val="2"/>
        <w:autoSpaceDE w:val="0"/>
        <w:spacing w:line="560" w:lineRule="exact"/>
        <w:ind w:firstLine="420"/>
        <w:jc w:val="both"/>
        <w:rPr>
          <w:rFonts w:hint="eastAsia" w:ascii="黑体" w:hAnsi="黑体" w:eastAsia="黑体"/>
          <w:bCs/>
          <w:color w:val="000000"/>
          <w:sz w:val="32"/>
          <w:szCs w:val="32"/>
        </w:rPr>
      </w:pPr>
      <w:r>
        <w:rPr>
          <w:rFonts w:hint="eastAsia" w:ascii="黑体" w:hAnsi="黑体" w:eastAsia="黑体"/>
          <w:bCs/>
          <w:color w:val="000000"/>
          <w:sz w:val="32"/>
          <w:szCs w:val="32"/>
        </w:rPr>
        <w:t xml:space="preserve">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A97F8D"/>
    <w:rsid w:val="00A97F8D"/>
    <w:rsid w:val="00DF4091"/>
    <w:rsid w:val="278270B2"/>
    <w:rsid w:val="5C230AB2"/>
    <w:rsid w:val="678A2C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both"/>
    </w:pPr>
    <w:rPr>
      <w:rFonts w:ascii="Times New Roman" w:hAnsi="Times New Roman" w:eastAsia="宋体" w:cs="Times New Roman"/>
      <w:kern w:val="2"/>
      <w:sz w:val="21"/>
      <w:szCs w:val="21"/>
      <w:lang w:val="en-US" w:eastAsia="zh-CN" w:bidi="ar-SA"/>
    </w:rPr>
  </w:style>
  <w:style w:type="character" w:default="1" w:styleId="4">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Normal (Web)"/>
    <w:basedOn w:val="1"/>
    <w:semiHidden/>
    <w:unhideWhenUsed/>
    <w:uiPriority w:val="99"/>
    <w:pPr>
      <w:jc w:val="left"/>
    </w:pPr>
    <w:rPr>
      <w:kern w:val="0"/>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393</Words>
  <Characters>2241</Characters>
  <Lines>18</Lines>
  <Paragraphs>5</Paragraphs>
  <TotalTime>1</TotalTime>
  <ScaleCrop>false</ScaleCrop>
  <LinksUpToDate>false</LinksUpToDate>
  <CharactersWithSpaces>2629</CharactersWithSpaces>
  <Application>WPS Office_11.8.2.12309_F1E327BC-269C-435d-A152-05C5408002CA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2025-01-07T01:35:00Z</dcterms:created>
  <dc:creator>Administrator</dc:creator>
  <cp:lastModifiedBy>猫如意</cp:lastModifiedBy>
  <dcterms:modified xsi:type="dcterms:W3CDTF">2025-01-22T05:24:35Z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2052-11.8.2.12309</vt:lpwstr>
  </property>
  <property fmtid="{D5CDD505-2E9C-101B-9397-08002B2CF9AE}" pid="3" name="ICV">
    <vt:lpwstr>25FD3F7B75134E188ACCA65E9EC57A6D</vt:lpwstr>
  </property>
</Properties>
</file>