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ascii="方正小标宋简体" w:hAnsi="黑体" w:eastAsia="方正小标宋简体" w:cs="Arial"/>
          <w:b/>
          <w:sz w:val="44"/>
          <w:szCs w:val="44"/>
        </w:rPr>
      </w:pPr>
      <w:r>
        <w:rPr>
          <w:rFonts w:hint="eastAsia" w:ascii="方正小标宋简体" w:hAnsi="黑体" w:eastAsia="方正小标宋简体" w:cs="Arial"/>
          <w:b/>
          <w:sz w:val="44"/>
          <w:szCs w:val="44"/>
        </w:rPr>
        <w:t>宁波市北仑区财政局20</w:t>
      </w:r>
      <w:r>
        <w:rPr>
          <w:rFonts w:hint="eastAsia" w:ascii="方正小标宋简体" w:hAnsi="黑体" w:eastAsia="方正小标宋简体" w:cs="Arial"/>
          <w:b/>
          <w:sz w:val="44"/>
          <w:szCs w:val="44"/>
          <w:lang w:val="en-US" w:eastAsia="zh-CN"/>
        </w:rPr>
        <w:t>20</w:t>
      </w:r>
      <w:r>
        <w:rPr>
          <w:rFonts w:hint="eastAsia" w:ascii="方正小标宋简体" w:hAnsi="黑体" w:eastAsia="方正小标宋简体" w:cs="Arial"/>
          <w:b/>
          <w:sz w:val="44"/>
          <w:szCs w:val="44"/>
        </w:rPr>
        <w:t>年度</w:t>
      </w:r>
    </w:p>
    <w:p>
      <w:pPr>
        <w:pStyle w:val="4"/>
        <w:jc w:val="center"/>
        <w:rPr>
          <w:rFonts w:ascii="方正小标宋简体" w:hAnsi="黑体" w:eastAsia="方正小标宋简体" w:cs="Arial"/>
          <w:b/>
          <w:sz w:val="44"/>
          <w:szCs w:val="44"/>
        </w:rPr>
      </w:pPr>
      <w:r>
        <w:rPr>
          <w:rFonts w:hint="eastAsia" w:ascii="方正小标宋简体" w:hAnsi="黑体" w:eastAsia="方正小标宋简体" w:cs="Arial"/>
          <w:b/>
          <w:sz w:val="44"/>
          <w:szCs w:val="44"/>
        </w:rPr>
        <w:t>政府信息公开工作年度报告</w:t>
      </w:r>
    </w:p>
    <w:p>
      <w:pPr>
        <w:pStyle w:val="4"/>
        <w:ind w:firstLine="480"/>
        <w:rPr>
          <w:rFonts w:ascii="仿宋_GB2312" w:hAnsi="Arial" w:eastAsia="仿宋_GB2312" w:cs="Arial"/>
          <w:sz w:val="28"/>
          <w:szCs w:val="28"/>
        </w:rPr>
      </w:pPr>
    </w:p>
    <w:p>
      <w:pPr>
        <w:pStyle w:val="4"/>
        <w:ind w:firstLine="480"/>
        <w:rPr>
          <w:rFonts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根据《中华人民共和国政府信息公开条例》（以下简称《条例》）和《宁波市政府信息公开规定》（以下简称《规定》）要求，对20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20</w:t>
      </w:r>
      <w:r>
        <w:rPr>
          <w:rFonts w:hint="eastAsia" w:ascii="仿宋_GB2312" w:hAnsi="Arial" w:eastAsia="仿宋_GB2312" w:cs="Arial"/>
          <w:sz w:val="28"/>
          <w:szCs w:val="28"/>
        </w:rPr>
        <w:t>年度北仑区财政局信息公开情况进行报告。本年报所列数据的统计期限自20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20</w:t>
      </w:r>
      <w:r>
        <w:rPr>
          <w:rFonts w:hint="eastAsia" w:ascii="仿宋_GB2312" w:hAnsi="Arial" w:eastAsia="仿宋_GB2312" w:cs="Arial"/>
          <w:sz w:val="28"/>
          <w:szCs w:val="28"/>
        </w:rPr>
        <w:t>年1月1日起至20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20</w:t>
      </w:r>
      <w:r>
        <w:rPr>
          <w:rFonts w:hint="eastAsia" w:ascii="仿宋_GB2312" w:hAnsi="Arial" w:eastAsia="仿宋_GB2312" w:cs="Arial"/>
          <w:sz w:val="28"/>
          <w:szCs w:val="28"/>
        </w:rPr>
        <w:t>年12月31日止。</w:t>
      </w:r>
    </w:p>
    <w:p>
      <w:pPr>
        <w:pStyle w:val="4"/>
        <w:ind w:firstLine="480"/>
        <w:rPr>
          <w:rFonts w:ascii="黑体" w:hAnsi="黑体" w:eastAsia="黑体" w:cs="Arial"/>
          <w:sz w:val="28"/>
          <w:szCs w:val="28"/>
        </w:rPr>
      </w:pPr>
      <w:r>
        <w:rPr>
          <w:rFonts w:hint="eastAsia" w:ascii="黑体" w:hAnsi="黑体" w:eastAsia="黑体" w:cs="Arial"/>
          <w:sz w:val="28"/>
          <w:szCs w:val="28"/>
        </w:rPr>
        <w:t>一、总体情况</w:t>
      </w:r>
    </w:p>
    <w:p>
      <w:pPr>
        <w:pStyle w:val="4"/>
        <w:ind w:firstLine="480"/>
        <w:rPr>
          <w:rFonts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截至20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20</w:t>
      </w:r>
      <w:r>
        <w:rPr>
          <w:rFonts w:hint="eastAsia" w:ascii="仿宋_GB2312" w:hAnsi="Arial" w:eastAsia="仿宋_GB2312" w:cs="Arial"/>
          <w:sz w:val="28"/>
          <w:szCs w:val="28"/>
        </w:rPr>
        <w:t>年底，我局政府信息公开工作运行基本正常，配备了1名兼职工作人员，落实工作机制，完善相关制度规定，明确工作责任，细化工作措施，确保政府信息公开规范透明。</w:t>
      </w:r>
    </w:p>
    <w:p>
      <w:pPr>
        <w:pStyle w:val="4"/>
        <w:ind w:firstLine="480"/>
        <w:rPr>
          <w:rFonts w:hint="eastAsia"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  <w:lang w:eastAsia="zh-CN"/>
        </w:rPr>
        <w:t>（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一</w:t>
      </w:r>
      <w:r>
        <w:rPr>
          <w:rFonts w:hint="eastAsia" w:ascii="仿宋_GB2312" w:hAnsi="Arial" w:eastAsia="仿宋_GB2312" w:cs="Arial"/>
          <w:sz w:val="28"/>
          <w:szCs w:val="28"/>
          <w:lang w:eastAsia="zh-CN"/>
        </w:rPr>
        <w:t>）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主动公开。</w:t>
      </w:r>
      <w:r>
        <w:rPr>
          <w:rFonts w:hint="eastAsia" w:ascii="仿宋_GB2312" w:hAnsi="Arial" w:eastAsia="仿宋_GB2312" w:cs="Arial"/>
          <w:sz w:val="28"/>
          <w:szCs w:val="28"/>
        </w:rPr>
        <w:t>围绕中央经济工作会议精神，出台实施抗疫惠企、稳就业促发展等一系列规模性政策举措，推动“六稳”“六保”工作落实到位。打好打赢三大攻坚战，主动公开扶贫资金下达文件。实现部门预算、决算公开全覆盖，绩效信息公开力度不断加大。加强政策解读和回应工作。</w:t>
      </w:r>
    </w:p>
    <w:p>
      <w:pPr>
        <w:pStyle w:val="4"/>
        <w:ind w:firstLine="480"/>
        <w:rPr>
          <w:rFonts w:hint="eastAsia"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（二）依申请公开</w:t>
      </w:r>
      <w:r>
        <w:rPr>
          <w:rFonts w:hint="eastAsia" w:ascii="仿宋_GB2312" w:hAnsi="Arial" w:eastAsia="仿宋_GB2312" w:cs="Arial"/>
          <w:sz w:val="28"/>
          <w:szCs w:val="28"/>
          <w:lang w:eastAsia="zh-CN"/>
        </w:rPr>
        <w:t>。</w:t>
      </w:r>
      <w:r>
        <w:rPr>
          <w:rFonts w:hint="eastAsia" w:ascii="仿宋_GB2312" w:hAnsi="Arial" w:eastAsia="仿宋_GB2312" w:cs="Arial"/>
          <w:sz w:val="28"/>
          <w:szCs w:val="28"/>
        </w:rPr>
        <w:t>进一步优化当面申请的接待、咨询和服务水平，在依申请办理过程中注重与申请人的沟通交流，全面掌握申请人诉求，有针对性地提高办理质量。认真处理涉及依申请办理的投诉和建议，在调查核实的基础上，对答复合理合法、但群众不理解的，做好解释工作。</w:t>
      </w:r>
    </w:p>
    <w:p>
      <w:pPr>
        <w:pStyle w:val="4"/>
        <w:ind w:firstLine="480"/>
        <w:rPr>
          <w:rFonts w:hint="eastAsia"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（三）政府信息管理</w:t>
      </w:r>
      <w:r>
        <w:rPr>
          <w:rFonts w:hint="eastAsia" w:ascii="仿宋_GB2312" w:hAnsi="Arial" w:eastAsia="仿宋_GB2312" w:cs="Arial"/>
          <w:sz w:val="28"/>
          <w:szCs w:val="28"/>
          <w:lang w:eastAsia="zh-CN"/>
        </w:rPr>
        <w:t>。</w:t>
      </w:r>
      <w:r>
        <w:rPr>
          <w:rFonts w:hint="eastAsia" w:ascii="仿宋_GB2312" w:hAnsi="Arial" w:eastAsia="仿宋_GB2312" w:cs="Arial"/>
          <w:sz w:val="28"/>
          <w:szCs w:val="28"/>
        </w:rPr>
        <w:t>目前我局政务公开内容包括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组织机构</w:t>
      </w:r>
      <w:r>
        <w:rPr>
          <w:rFonts w:hint="eastAsia" w:ascii="仿宋_GB2312" w:hAnsi="Arial" w:eastAsia="仿宋_GB2312" w:cs="Arial"/>
          <w:sz w:val="28"/>
          <w:szCs w:val="28"/>
        </w:rPr>
        <w:t>、法规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文件</w:t>
      </w:r>
      <w:r>
        <w:rPr>
          <w:rFonts w:hint="eastAsia" w:ascii="仿宋_GB2312" w:hAnsi="Arial" w:eastAsia="仿宋_GB2312" w:cs="Arial"/>
          <w:sz w:val="28"/>
          <w:szCs w:val="28"/>
        </w:rPr>
        <w:t>、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计划规划</w:t>
      </w:r>
      <w:r>
        <w:rPr>
          <w:rFonts w:hint="eastAsia" w:ascii="仿宋_GB2312" w:hAnsi="Arial" w:eastAsia="仿宋_GB2312" w:cs="Arial"/>
          <w:sz w:val="28"/>
          <w:szCs w:val="28"/>
        </w:rPr>
        <w:t>、财政信息、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采购招标</w:t>
      </w:r>
      <w:r>
        <w:rPr>
          <w:rFonts w:hint="eastAsia" w:ascii="仿宋_GB2312" w:hAnsi="Arial" w:eastAsia="仿宋_GB2312" w:cs="Arial"/>
          <w:sz w:val="28"/>
          <w:szCs w:val="28"/>
        </w:rPr>
        <w:t>、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人事信息</w:t>
      </w:r>
      <w:r>
        <w:rPr>
          <w:rFonts w:hint="eastAsia" w:ascii="仿宋_GB2312" w:hAnsi="Arial" w:eastAsia="仿宋_GB2312" w:cs="Arial"/>
          <w:sz w:val="28"/>
          <w:szCs w:val="28"/>
        </w:rPr>
        <w:t>、重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大决策预公开7</w:t>
      </w:r>
      <w:r>
        <w:rPr>
          <w:rFonts w:hint="eastAsia" w:ascii="仿宋_GB2312" w:hAnsi="Arial" w:eastAsia="仿宋_GB2312" w:cs="Arial"/>
          <w:sz w:val="28"/>
          <w:szCs w:val="28"/>
        </w:rPr>
        <w:t>大类，群众可通过登录宁波市北仑区人民政府网站进行查阅。</w:t>
      </w:r>
    </w:p>
    <w:p>
      <w:pPr>
        <w:pStyle w:val="4"/>
        <w:ind w:firstLine="480"/>
        <w:rPr>
          <w:rFonts w:hint="eastAsia"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（四）平台建设</w:t>
      </w:r>
      <w:r>
        <w:rPr>
          <w:rFonts w:hint="eastAsia" w:ascii="仿宋_GB2312" w:hAnsi="Arial" w:eastAsia="仿宋_GB2312" w:cs="Arial"/>
          <w:sz w:val="28"/>
          <w:szCs w:val="28"/>
          <w:lang w:eastAsia="zh-CN"/>
        </w:rPr>
        <w:t>。</w:t>
      </w:r>
      <w:r>
        <w:rPr>
          <w:rFonts w:hint="eastAsia" w:ascii="仿宋_GB2312" w:hAnsi="Arial" w:eastAsia="仿宋_GB2312" w:cs="Arial"/>
          <w:sz w:val="28"/>
          <w:szCs w:val="28"/>
        </w:rPr>
        <w:t>集中公开政府信息公开指南、法定主动公开内容、政府信息公开年报等内容，明确公众获取主动公开和依申请公开信息的主要渠道和具体方式，便利市民群众查找权威政府信息。</w:t>
      </w:r>
    </w:p>
    <w:p>
      <w:pPr>
        <w:pStyle w:val="4"/>
        <w:ind w:firstLine="480"/>
        <w:rPr>
          <w:rFonts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（五）监督保障信息</w:t>
      </w:r>
      <w:r>
        <w:rPr>
          <w:rFonts w:hint="eastAsia" w:ascii="仿宋_GB2312" w:hAnsi="Arial" w:eastAsia="仿宋_GB2312" w:cs="Arial"/>
          <w:sz w:val="28"/>
          <w:szCs w:val="28"/>
          <w:lang w:eastAsia="zh-CN"/>
        </w:rPr>
        <w:t>。</w:t>
      </w:r>
      <w:r>
        <w:rPr>
          <w:rFonts w:hint="eastAsia" w:ascii="仿宋_GB2312" w:hAnsi="Arial" w:eastAsia="仿宋_GB2312" w:cs="Arial"/>
          <w:sz w:val="28"/>
          <w:szCs w:val="28"/>
        </w:rPr>
        <w:t>从公众需要出发，按照“公开为原则，不公开为例外”的总体要求，妥善处理公开与保密的关系，在确保不失密不泄密的前提下，确定需要公开的及时予以发布，按照《宁波市北仑区关于违反政府信息公开规定行为的责任追究规定》，建立相应处罚机制。积极开展《条例》学习，宣传政府信息公开的意义，开展信息公开业务培训，全局机关工作人员对信息公开的意识进一步增强。</w:t>
      </w:r>
    </w:p>
    <w:p>
      <w:pPr>
        <w:pStyle w:val="4"/>
        <w:ind w:firstLine="480"/>
        <w:rPr>
          <w:rFonts w:ascii="黑体" w:hAnsi="黑体" w:eastAsia="黑体" w:cs="Arial"/>
          <w:sz w:val="28"/>
          <w:szCs w:val="28"/>
        </w:rPr>
      </w:pPr>
      <w:r>
        <w:rPr>
          <w:rFonts w:hint="eastAsia" w:ascii="黑体" w:hAnsi="黑体" w:eastAsia="黑体" w:cs="Arial"/>
          <w:sz w:val="28"/>
          <w:szCs w:val="28"/>
        </w:rPr>
        <w:t>二、行动机关主动公开政府信息情况</w:t>
      </w:r>
    </w:p>
    <w:p>
      <w:pPr>
        <w:pStyle w:val="4"/>
        <w:ind w:firstLine="480"/>
        <w:rPr>
          <w:rFonts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20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20</w:t>
      </w:r>
      <w:r>
        <w:rPr>
          <w:rFonts w:hint="eastAsia" w:ascii="仿宋_GB2312" w:hAnsi="Arial" w:eastAsia="仿宋_GB2312" w:cs="Arial"/>
          <w:sz w:val="28"/>
          <w:szCs w:val="28"/>
        </w:rPr>
        <w:t>年累计主动公开政府信息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193</w:t>
      </w:r>
      <w:r>
        <w:rPr>
          <w:rFonts w:hint="eastAsia" w:ascii="仿宋_GB2312" w:hAnsi="Arial" w:eastAsia="仿宋_GB2312" w:cs="Arial"/>
          <w:sz w:val="28"/>
          <w:szCs w:val="28"/>
        </w:rPr>
        <w:t>条。除北仑之窗政务信息公开平台外，我局还通过区、局门户网站、电视台、报纸等其它媒介及时发布有关政策法规、为民服务、财政动态、业务公告等各类信息，方便群众了解本局工作职能和工作动态，普及有关法律知识，接受社会监督，有力提升政府工作的透明度，促进依法行政，更好地为人民群众服务。</w:t>
      </w:r>
    </w:p>
    <w:tbl>
      <w:tblPr>
        <w:tblStyle w:val="5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605"/>
        <w:gridCol w:w="226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7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信息内容</w:t>
            </w:r>
          </w:p>
        </w:tc>
        <w:tc>
          <w:tcPr>
            <w:tcW w:w="260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本年新制作数量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本年新公开数量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对外公开总数量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规章</w:t>
            </w:r>
          </w:p>
        </w:tc>
        <w:tc>
          <w:tcPr>
            <w:tcW w:w="26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规范性文件</w:t>
            </w:r>
          </w:p>
        </w:tc>
        <w:tc>
          <w:tcPr>
            <w:tcW w:w="26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7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信息内容</w:t>
            </w:r>
          </w:p>
        </w:tc>
        <w:tc>
          <w:tcPr>
            <w:tcW w:w="260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上一年项目数量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本年增/减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行政许可</w:t>
            </w:r>
          </w:p>
        </w:tc>
        <w:tc>
          <w:tcPr>
            <w:tcW w:w="26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0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其他对外管理服务事项</w:t>
            </w:r>
          </w:p>
        </w:tc>
        <w:tc>
          <w:tcPr>
            <w:tcW w:w="26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7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信息内容</w:t>
            </w:r>
          </w:p>
        </w:tc>
        <w:tc>
          <w:tcPr>
            <w:tcW w:w="260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上一年项目数量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本年增/减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行政处罚</w:t>
            </w:r>
          </w:p>
        </w:tc>
        <w:tc>
          <w:tcPr>
            <w:tcW w:w="2605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60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0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行政强制</w:t>
            </w:r>
          </w:p>
        </w:tc>
        <w:tc>
          <w:tcPr>
            <w:tcW w:w="26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198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7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信息内容</w:t>
            </w:r>
          </w:p>
        </w:tc>
        <w:tc>
          <w:tcPr>
            <w:tcW w:w="260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上一年项目数量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本年增/减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行政事业性收费</w:t>
            </w:r>
          </w:p>
        </w:tc>
        <w:tc>
          <w:tcPr>
            <w:tcW w:w="26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第二十条第（九）项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7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信息内容</w:t>
            </w:r>
          </w:p>
        </w:tc>
        <w:tc>
          <w:tcPr>
            <w:tcW w:w="260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采购项目数量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采购总金额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政府集中采购</w:t>
            </w:r>
          </w:p>
        </w:tc>
        <w:tc>
          <w:tcPr>
            <w:tcW w:w="26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8</w:t>
            </w:r>
          </w:p>
        </w:tc>
        <w:tc>
          <w:tcPr>
            <w:tcW w:w="42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1920000</w:t>
            </w:r>
          </w:p>
        </w:tc>
      </w:tr>
    </w:tbl>
    <w:p>
      <w:pPr>
        <w:pStyle w:val="4"/>
        <w:ind w:firstLine="480"/>
        <w:rPr>
          <w:rFonts w:ascii="黑体" w:hAnsi="黑体" w:eastAsia="黑体" w:cs="Arial"/>
          <w:sz w:val="28"/>
          <w:szCs w:val="28"/>
        </w:rPr>
      </w:pPr>
      <w:r>
        <w:rPr>
          <w:rFonts w:ascii="黑体" w:hAnsi="黑体" w:eastAsia="黑体" w:cs="Arial"/>
          <w:sz w:val="28"/>
          <w:szCs w:val="28"/>
        </w:rPr>
        <w:t>三、</w:t>
      </w:r>
      <w:r>
        <w:rPr>
          <w:rFonts w:hint="eastAsia" w:ascii="黑体" w:hAnsi="黑体" w:eastAsia="黑体" w:cs="Arial"/>
          <w:sz w:val="28"/>
          <w:szCs w:val="28"/>
        </w:rPr>
        <w:t>收到和处理政府信息公开申请情况</w:t>
      </w:r>
    </w:p>
    <w:tbl>
      <w:tblPr>
        <w:tblStyle w:val="5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1141"/>
        <w:gridCol w:w="2029"/>
        <w:gridCol w:w="839"/>
        <w:gridCol w:w="709"/>
        <w:gridCol w:w="709"/>
        <w:gridCol w:w="992"/>
        <w:gridCol w:w="814"/>
        <w:gridCol w:w="570"/>
        <w:gridCol w:w="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25" w:type="dxa"/>
            <w:gridSpan w:val="3"/>
            <w:vMerge w:val="restart"/>
            <w:vAlign w:val="center"/>
          </w:tcPr>
          <w:p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（本列数据的勾稽关系为：第一项加第二项之和，等于第三项加第四项之和）</w:t>
            </w:r>
          </w:p>
        </w:tc>
        <w:tc>
          <w:tcPr>
            <w:tcW w:w="517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25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3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自然人</w:t>
            </w:r>
          </w:p>
        </w:tc>
        <w:tc>
          <w:tcPr>
            <w:tcW w:w="379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法人或其他组织</w:t>
            </w:r>
          </w:p>
        </w:tc>
        <w:tc>
          <w:tcPr>
            <w:tcW w:w="54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25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商业企业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科研机构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社会公益组织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法律服务机构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其他</w:t>
            </w:r>
          </w:p>
        </w:tc>
        <w:tc>
          <w:tcPr>
            <w:tcW w:w="541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225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一、本年新收到政府信息公开申请数量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225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二、上年转结政府信息公开申请数量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三、本年度办理结果</w:t>
            </w:r>
          </w:p>
        </w:tc>
        <w:tc>
          <w:tcPr>
            <w:tcW w:w="3170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（一）予以公开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70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（二）部分公开（区分处理的，只计这一情形，不计其他情形）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1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（三）不予公开</w:t>
            </w:r>
          </w:p>
        </w:tc>
        <w:tc>
          <w:tcPr>
            <w:tcW w:w="2029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1.属于国家秘密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2.其他法律行政法规禁止公开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3.危及“三安全一稳定”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4.保护第三方合法权益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5.属于三类内部事务信息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6.属于四类过程性信息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7.属于行政执法案卷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8.属于行政查询事项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1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（四）无法提供</w:t>
            </w:r>
          </w:p>
        </w:tc>
        <w:tc>
          <w:tcPr>
            <w:tcW w:w="2029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1.本机关不掌握相关政府信息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2.没有现成信息需要另行制作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3.补正后申请内容仍不明确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1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（五）不予处理</w:t>
            </w:r>
          </w:p>
        </w:tc>
        <w:tc>
          <w:tcPr>
            <w:tcW w:w="2029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1.信访举报投诉类申请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2.重复申请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3.要求提供公开出版物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4.无正当理由大量反复申请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1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29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5.要求行政机关确认或重新出具已获取信息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70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（六）其他处理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55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70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（七）总计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225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四、转结下年度继续办理</w:t>
            </w:r>
          </w:p>
        </w:tc>
        <w:tc>
          <w:tcPr>
            <w:tcW w:w="8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8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4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</w:tbl>
    <w:p>
      <w:pPr>
        <w:pStyle w:val="4"/>
        <w:ind w:firstLine="480"/>
        <w:rPr>
          <w:rFonts w:ascii="黑体" w:hAnsi="黑体" w:eastAsia="黑体" w:cs="Arial"/>
          <w:sz w:val="28"/>
          <w:szCs w:val="28"/>
        </w:rPr>
      </w:pPr>
      <w:r>
        <w:rPr>
          <w:rFonts w:hint="eastAsia" w:ascii="黑体" w:hAnsi="黑体" w:eastAsia="黑体" w:cs="Arial"/>
          <w:sz w:val="28"/>
          <w:szCs w:val="28"/>
        </w:rPr>
        <w:t>四</w:t>
      </w:r>
      <w:r>
        <w:rPr>
          <w:rFonts w:ascii="黑体" w:hAnsi="黑体" w:eastAsia="黑体" w:cs="Arial"/>
          <w:sz w:val="28"/>
          <w:szCs w:val="28"/>
        </w:rPr>
        <w:t>、政府信息公开</w:t>
      </w:r>
      <w:r>
        <w:rPr>
          <w:rFonts w:hint="eastAsia" w:ascii="黑体" w:hAnsi="黑体" w:eastAsia="黑体" w:cs="Arial"/>
          <w:sz w:val="28"/>
          <w:szCs w:val="28"/>
        </w:rPr>
        <w:t>行政</w:t>
      </w:r>
      <w:r>
        <w:rPr>
          <w:rFonts w:ascii="黑体" w:hAnsi="黑体" w:eastAsia="黑体" w:cs="Arial"/>
          <w:sz w:val="28"/>
          <w:szCs w:val="28"/>
        </w:rPr>
        <w:t>复议、</w:t>
      </w:r>
      <w:r>
        <w:rPr>
          <w:rFonts w:hint="eastAsia" w:ascii="黑体" w:hAnsi="黑体" w:eastAsia="黑体" w:cs="Arial"/>
          <w:sz w:val="28"/>
          <w:szCs w:val="28"/>
        </w:rPr>
        <w:t>行政</w:t>
      </w:r>
      <w:r>
        <w:rPr>
          <w:rFonts w:ascii="黑体" w:hAnsi="黑体" w:eastAsia="黑体" w:cs="Arial"/>
          <w:sz w:val="28"/>
          <w:szCs w:val="28"/>
        </w:rPr>
        <w:t>诉讼情况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gridSpan w:val="5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行政复议</w:t>
            </w:r>
          </w:p>
        </w:tc>
        <w:tc>
          <w:tcPr>
            <w:tcW w:w="5531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5" w:type="dxa"/>
            <w:gridSpan w:val="5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276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未经复议直接起诉</w:t>
            </w:r>
          </w:p>
        </w:tc>
        <w:tc>
          <w:tcPr>
            <w:tcW w:w="2766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结果维持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结果纠正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其他结果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尚未审结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总计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结果维持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结果纠正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其他结果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尚未审结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总计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结果维持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结果纠正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其他结果</w:t>
            </w:r>
          </w:p>
        </w:tc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尚未审结</w:t>
            </w: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55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3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  <w:tc>
          <w:tcPr>
            <w:tcW w:w="554" w:type="dxa"/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</w:tc>
      </w:tr>
    </w:tbl>
    <w:p>
      <w:pPr>
        <w:pStyle w:val="4"/>
        <w:ind w:firstLine="480"/>
        <w:rPr>
          <w:rFonts w:ascii="黑体" w:hAnsi="黑体" w:eastAsia="黑体" w:cs="Arial"/>
          <w:sz w:val="28"/>
          <w:szCs w:val="28"/>
        </w:rPr>
      </w:pPr>
      <w:r>
        <w:rPr>
          <w:rFonts w:hint="eastAsia" w:ascii="黑体" w:hAnsi="黑体" w:eastAsia="黑体" w:cs="Arial"/>
          <w:sz w:val="28"/>
          <w:szCs w:val="28"/>
        </w:rPr>
        <w:t>五</w:t>
      </w:r>
      <w:r>
        <w:rPr>
          <w:rFonts w:ascii="黑体" w:hAnsi="黑体" w:eastAsia="黑体" w:cs="Arial"/>
          <w:sz w:val="28"/>
          <w:szCs w:val="28"/>
        </w:rPr>
        <w:t>、存在的主要问题和改进措施</w:t>
      </w:r>
    </w:p>
    <w:p>
      <w:pPr>
        <w:pStyle w:val="4"/>
        <w:ind w:firstLine="480"/>
        <w:rPr>
          <w:rFonts w:hint="eastAsia" w:ascii="仿宋_GB2312" w:hAnsi="Arial" w:eastAsia="仿宋_GB2312" w:cs="Arial"/>
          <w:sz w:val="28"/>
          <w:szCs w:val="28"/>
          <w:lang w:val="en-US" w:eastAsia="zh-CN"/>
        </w:rPr>
      </w:pPr>
      <w:r>
        <w:rPr>
          <w:rFonts w:hint="eastAsia" w:ascii="仿宋_GB2312" w:hAnsi="Arial" w:eastAsia="仿宋_GB2312" w:cs="Arial"/>
          <w:sz w:val="28"/>
          <w:szCs w:val="28"/>
        </w:rPr>
        <w:t>20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20</w:t>
      </w:r>
      <w:r>
        <w:rPr>
          <w:rFonts w:hint="eastAsia" w:ascii="仿宋_GB2312" w:hAnsi="Arial" w:eastAsia="仿宋_GB2312" w:cs="Arial"/>
          <w:sz w:val="28"/>
          <w:szCs w:val="28"/>
        </w:rPr>
        <w:t>年，我局对政府信息公开项目进行了再次梳理，发现仍存在一些问题，在更新总量、公开范围、公开形式等方面仍存在不足。具体表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现在两个方面：一是政府信息公开内容有待进一步充实；二是公开的时效性仍需要进一步加强，存在个别栏目更新不及时。</w:t>
      </w:r>
    </w:p>
    <w:p>
      <w:pPr>
        <w:pStyle w:val="4"/>
        <w:ind w:firstLine="480"/>
        <w:rPr>
          <w:rFonts w:hint="eastAsia" w:ascii="仿宋_GB2312" w:hAnsi="Arial" w:eastAsia="仿宋_GB2312" w:cs="Arial"/>
          <w:sz w:val="28"/>
          <w:szCs w:val="28"/>
          <w:lang w:eastAsia="zh-CN"/>
        </w:rPr>
      </w:pP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下步改进措施：一是继续提高工作人员的思想认识和工作技能，进一步增强政务信息公开工作能力，保证公开信息的及时、准确和全面。二是进一步提高政府信息公开工作水平，进一步落实工作目标，坚持领导督查，提高</w:t>
      </w:r>
      <w:r>
        <w:rPr>
          <w:rFonts w:hint="eastAsia" w:ascii="仿宋_GB2312" w:hAnsi="Arial" w:eastAsia="仿宋_GB2312" w:cs="Arial"/>
          <w:sz w:val="28"/>
          <w:szCs w:val="28"/>
        </w:rPr>
        <w:t>办事透明度，努力提高政府行政效能</w:t>
      </w:r>
      <w:r>
        <w:rPr>
          <w:rFonts w:hint="eastAsia" w:ascii="仿宋_GB2312" w:hAnsi="Arial" w:eastAsia="仿宋_GB2312" w:cs="Arial"/>
          <w:sz w:val="28"/>
          <w:szCs w:val="28"/>
          <w:lang w:eastAsia="zh-CN"/>
        </w:rPr>
        <w:t>。</w:t>
      </w:r>
    </w:p>
    <w:p>
      <w:pPr>
        <w:pStyle w:val="4"/>
        <w:ind w:firstLine="480"/>
        <w:rPr>
          <w:rFonts w:ascii="黑体" w:hAnsi="黑体" w:eastAsia="黑体" w:cs="Arial"/>
          <w:sz w:val="28"/>
          <w:szCs w:val="28"/>
        </w:rPr>
      </w:pPr>
      <w:r>
        <w:rPr>
          <w:rFonts w:hint="eastAsia" w:ascii="黑体" w:hAnsi="黑体" w:eastAsia="黑体" w:cs="Arial"/>
          <w:sz w:val="28"/>
          <w:szCs w:val="28"/>
        </w:rPr>
        <w:t>六、政府信息公开的收费及减免情况</w:t>
      </w:r>
    </w:p>
    <w:p>
      <w:pPr>
        <w:pStyle w:val="4"/>
        <w:ind w:firstLine="480"/>
        <w:rPr>
          <w:rFonts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截至20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20</w:t>
      </w:r>
      <w:r>
        <w:rPr>
          <w:rFonts w:hint="eastAsia" w:ascii="仿宋_GB2312" w:hAnsi="Arial" w:eastAsia="仿宋_GB2312" w:cs="Arial"/>
          <w:sz w:val="28"/>
          <w:szCs w:val="28"/>
        </w:rPr>
        <w:t>年12月31日，我局未对群众查阅或申请公开政府信息进行收费。</w:t>
      </w:r>
    </w:p>
    <w:p>
      <w:pPr>
        <w:pStyle w:val="4"/>
        <w:ind w:firstLine="480"/>
        <w:rPr>
          <w:rFonts w:ascii="黑体" w:hAnsi="黑体" w:eastAsia="黑体" w:cs="Arial"/>
          <w:sz w:val="28"/>
          <w:szCs w:val="28"/>
        </w:rPr>
      </w:pPr>
      <w:r>
        <w:rPr>
          <w:rFonts w:hint="eastAsia" w:ascii="黑体" w:hAnsi="黑体" w:eastAsia="黑体" w:cs="Arial"/>
          <w:sz w:val="28"/>
          <w:szCs w:val="28"/>
        </w:rPr>
        <w:t>七、其他需要报告的事项</w:t>
      </w:r>
    </w:p>
    <w:p>
      <w:pPr>
        <w:pStyle w:val="4"/>
        <w:ind w:firstLine="480"/>
        <w:rPr>
          <w:rFonts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我局没有其他需要报告的事项。</w:t>
      </w:r>
      <w:bookmarkStart w:id="0" w:name="_GoBack"/>
      <w:bookmarkEnd w:id="0"/>
    </w:p>
    <w:p>
      <w:pPr>
        <w:pStyle w:val="4"/>
        <w:rPr>
          <w:rFonts w:ascii="仿宋_GB2312" w:hAnsi="Arial" w:eastAsia="仿宋_GB2312" w:cs="Arial"/>
          <w:sz w:val="28"/>
          <w:szCs w:val="28"/>
        </w:rPr>
      </w:pPr>
      <w:r>
        <w:rPr>
          <w:rFonts w:hint="eastAsia" w:ascii="Arial" w:hAnsi="Arial" w:eastAsia="仿宋_GB2312" w:cs="Arial"/>
          <w:sz w:val="28"/>
          <w:szCs w:val="28"/>
        </w:rPr>
        <w:t>                            </w:t>
      </w:r>
    </w:p>
    <w:p>
      <w:pPr>
        <w:pStyle w:val="4"/>
        <w:ind w:firstLine="480"/>
        <w:jc w:val="right"/>
        <w:rPr>
          <w:rFonts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宁波市北仑区财政局</w:t>
      </w:r>
    </w:p>
    <w:p>
      <w:pPr>
        <w:pStyle w:val="4"/>
        <w:ind w:firstLine="480"/>
        <w:jc w:val="right"/>
        <w:rPr>
          <w:rFonts w:ascii="仿宋_GB2312" w:hAnsi="Arial" w:eastAsia="仿宋_GB2312" w:cs="Arial"/>
          <w:sz w:val="28"/>
          <w:szCs w:val="28"/>
        </w:rPr>
      </w:pPr>
      <w:r>
        <w:rPr>
          <w:rFonts w:hint="eastAsia" w:ascii="仿宋_GB2312" w:hAnsi="Arial" w:eastAsia="仿宋_GB2312" w:cs="Arial"/>
          <w:sz w:val="28"/>
          <w:szCs w:val="28"/>
        </w:rPr>
        <w:t>202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1</w:t>
      </w:r>
      <w:r>
        <w:rPr>
          <w:rFonts w:hint="eastAsia" w:ascii="仿宋_GB2312" w:hAnsi="Arial" w:eastAsia="仿宋_GB2312" w:cs="Arial"/>
          <w:sz w:val="28"/>
          <w:szCs w:val="28"/>
        </w:rPr>
        <w:t>年1</w:t>
      </w:r>
      <w:r>
        <w:rPr>
          <w:rFonts w:hint="eastAsia" w:ascii="仿宋_GB2312" w:hAnsi="Arial" w:eastAsia="仿宋_GB2312" w:cs="Arial"/>
          <w:sz w:val="28"/>
          <w:szCs w:val="28"/>
          <w:lang w:val="en-US" w:eastAsia="zh-CN"/>
        </w:rPr>
        <w:t>月22</w:t>
      </w:r>
      <w:r>
        <w:rPr>
          <w:rFonts w:hint="eastAsia" w:ascii="仿宋_GB2312" w:hAnsi="Arial" w:eastAsia="仿宋_GB2312" w:cs="Arial"/>
          <w:sz w:val="28"/>
          <w:szCs w:val="28"/>
        </w:rPr>
        <w:t>日</w:t>
      </w:r>
    </w:p>
    <w:p>
      <w:pPr>
        <w:pStyle w:val="4"/>
        <w:rPr>
          <w:rFonts w:ascii="仿宋_GB2312" w:hAnsi="Arial" w:eastAsia="仿宋_GB2312" w:cs="Arial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zE4ZDU3ZTE2ZGU3OTFiZjhjN2NhNDQyMDJhZjFmZTcifQ=="/>
  </w:docVars>
  <w:rsids>
    <w:rsidRoot w:val="004D10D4"/>
    <w:rsid w:val="001B19F8"/>
    <w:rsid w:val="0026633A"/>
    <w:rsid w:val="002F2640"/>
    <w:rsid w:val="002F6FB6"/>
    <w:rsid w:val="00322344"/>
    <w:rsid w:val="00470219"/>
    <w:rsid w:val="004D10D4"/>
    <w:rsid w:val="005B08AC"/>
    <w:rsid w:val="00624B9D"/>
    <w:rsid w:val="0065035A"/>
    <w:rsid w:val="00660177"/>
    <w:rsid w:val="006836B5"/>
    <w:rsid w:val="006B4EC9"/>
    <w:rsid w:val="00966E0E"/>
    <w:rsid w:val="00A96F64"/>
    <w:rsid w:val="00B72175"/>
    <w:rsid w:val="00C83E3D"/>
    <w:rsid w:val="00D34340"/>
    <w:rsid w:val="00F5230A"/>
    <w:rsid w:val="0F4A6D75"/>
    <w:rsid w:val="2E9A7C2A"/>
    <w:rsid w:val="2F3028D2"/>
    <w:rsid w:val="49AD015F"/>
    <w:rsid w:val="4B092E73"/>
    <w:rsid w:val="5A6A1338"/>
    <w:rsid w:val="71E44D8C"/>
    <w:rsid w:val="72CE679A"/>
    <w:rsid w:val="7E97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line="48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2171</Words>
  <Characters>2229</Characters>
  <Lines>17</Lines>
  <Paragraphs>5</Paragraphs>
  <TotalTime>1</TotalTime>
  <ScaleCrop>false</ScaleCrop>
  <LinksUpToDate>false</LinksUpToDate>
  <CharactersWithSpaces>2257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2019-11-25T07:59:00Z</dcterms:created>
  <dc:creator>DELL</dc:creator>
  <cp:lastModifiedBy>Administrator</cp:lastModifiedBy>
  <dcterms:modified xsi:type="dcterms:W3CDTF">2023-02-27T05:04:06Z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38C7DAD5CEA24B49B2B1A6B1892705BF</vt:lpwstr>
  </property>
</Properties>
</file>