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3ECAF6">
      <w:pPr>
        <w:pStyle w:val="4"/>
        <w:keepNext w:val="0"/>
        <w:keepLines w:val="0"/>
        <w:pageBreakBefore w:val="0"/>
        <w:kinsoku/>
        <w:wordWrap/>
        <w:overflowPunct/>
        <w:topLinePunct w:val="0"/>
        <w:autoSpaceDE/>
        <w:autoSpaceDN/>
        <w:bidi w:val="0"/>
        <w:adjustRightInd/>
        <w:snapToGrid/>
        <w:spacing w:before="0" w:after="0" w:line="560" w:lineRule="exact"/>
        <w:jc w:val="center"/>
        <w:textAlignment w:val="auto"/>
        <w:rPr>
          <w:rFonts w:hint="eastAsia" w:ascii="方正小标宋简体" w:hAnsi="方正小标宋简体" w:eastAsia="方正小标宋简体" w:cs="方正小标宋简体"/>
          <w:bCs/>
          <w:snapToGrid w:val="0"/>
          <w:spacing w:val="-11"/>
          <w:sz w:val="44"/>
          <w:szCs w:val="44"/>
          <w:lang w:eastAsia="zh-CN"/>
        </w:rPr>
      </w:pPr>
      <w:r>
        <w:rPr>
          <w:rFonts w:ascii="方正小标宋简体" w:hAnsi="方正小标宋简体" w:eastAsia="方正小标宋简体" w:cs="方正小标宋简体"/>
          <w:bCs/>
          <w:snapToGrid w:val="0"/>
          <w:spacing w:val="-11"/>
          <w:sz w:val="44"/>
          <w:szCs w:val="44"/>
        </w:rPr>
        <w:t>北仑区</w:t>
      </w:r>
      <w:r>
        <w:rPr>
          <w:rFonts w:hint="eastAsia" w:ascii="方正小标宋简体" w:hAnsi="方正小标宋简体" w:eastAsia="方正小标宋简体" w:cs="方正小标宋简体"/>
          <w:bCs/>
          <w:snapToGrid w:val="0"/>
          <w:spacing w:val="-11"/>
          <w:sz w:val="44"/>
          <w:szCs w:val="44"/>
          <w:lang w:eastAsia="zh-CN"/>
        </w:rPr>
        <w:t>金融发展服务中心</w:t>
      </w:r>
    </w:p>
    <w:p w14:paraId="7BC44DB9">
      <w:pPr>
        <w:pStyle w:val="4"/>
        <w:keepNext w:val="0"/>
        <w:keepLines w:val="0"/>
        <w:pageBreakBefore w:val="0"/>
        <w:kinsoku/>
        <w:wordWrap/>
        <w:overflowPunct/>
        <w:topLinePunct w:val="0"/>
        <w:autoSpaceDE/>
        <w:autoSpaceDN/>
        <w:bidi w:val="0"/>
        <w:adjustRightInd/>
        <w:snapToGrid/>
        <w:spacing w:before="0" w:after="0" w:line="560" w:lineRule="exact"/>
        <w:jc w:val="center"/>
        <w:textAlignment w:val="auto"/>
        <w:rPr>
          <w:rFonts w:ascii="方正小标宋简体" w:hAnsi="方正小标宋简体" w:eastAsia="方正小标宋简体" w:cs="方正小标宋简体"/>
          <w:bCs/>
          <w:snapToGrid w:val="0"/>
          <w:spacing w:val="-11"/>
          <w:sz w:val="44"/>
          <w:szCs w:val="44"/>
        </w:rPr>
      </w:pPr>
      <w:r>
        <w:rPr>
          <w:rFonts w:hint="eastAsia" w:ascii="方正小标宋简体" w:hAnsi="方正小标宋简体" w:eastAsia="方正小标宋简体" w:cs="方正小标宋简体"/>
          <w:bCs/>
          <w:snapToGrid w:val="0"/>
          <w:spacing w:val="-11"/>
          <w:sz w:val="44"/>
          <w:szCs w:val="44"/>
          <w:lang w:val="en-US" w:eastAsia="zh-CN"/>
        </w:rPr>
        <w:t>2024</w:t>
      </w:r>
      <w:r>
        <w:rPr>
          <w:rFonts w:hint="eastAsia" w:ascii="方正小标宋简体" w:hAnsi="方正小标宋简体" w:eastAsia="方正小标宋简体" w:cs="方正小标宋简体"/>
          <w:bCs/>
          <w:snapToGrid w:val="0"/>
          <w:spacing w:val="-11"/>
          <w:sz w:val="44"/>
          <w:szCs w:val="44"/>
        </w:rPr>
        <w:t>年度政府信息公开工作年度报告</w:t>
      </w:r>
    </w:p>
    <w:p w14:paraId="03CCA7CD">
      <w:pPr>
        <w:pStyle w:val="4"/>
        <w:keepNext w:val="0"/>
        <w:keepLines w:val="0"/>
        <w:pageBreakBefore w:val="0"/>
        <w:kinsoku/>
        <w:wordWrap/>
        <w:overflowPunct/>
        <w:topLinePunct w:val="0"/>
        <w:autoSpaceDE/>
        <w:autoSpaceDN/>
        <w:bidi w:val="0"/>
        <w:adjustRightInd/>
        <w:snapToGrid/>
        <w:spacing w:before="0" w:after="0" w:line="560" w:lineRule="exact"/>
        <w:ind w:leftChars="0" w:firstLine="640" w:firstLineChars="200"/>
        <w:jc w:val="both"/>
        <w:textAlignment w:val="auto"/>
        <w:rPr>
          <w:rFonts w:hint="eastAsia" w:ascii="仿宋_GB2312" w:hAnsi="楷体_GB2312" w:eastAsia="仿宋_GB2312" w:cs="楷体_GB2312"/>
          <w:sz w:val="32"/>
          <w:szCs w:val="32"/>
        </w:rPr>
      </w:pPr>
      <w:r>
        <w:rPr>
          <w:rFonts w:hint="eastAsia" w:ascii="仿宋_GB2312" w:hAnsi="楷体_GB2312" w:eastAsia="仿宋_GB2312" w:cs="楷体_GB2312"/>
          <w:sz w:val="32"/>
          <w:szCs w:val="32"/>
          <w:lang w:val="en-US" w:eastAsia="zh-CN"/>
        </w:rPr>
        <w:t xml:space="preserve">  </w:t>
      </w:r>
      <w:r>
        <w:rPr>
          <w:rFonts w:hint="eastAsia" w:ascii="仿宋_GB2312" w:hAnsi="楷体_GB2312" w:eastAsia="仿宋_GB2312" w:cs="楷体_GB2312"/>
          <w:sz w:val="32"/>
          <w:szCs w:val="32"/>
        </w:rPr>
        <w:t> </w:t>
      </w:r>
    </w:p>
    <w:p w14:paraId="4004B5EF">
      <w:pPr>
        <w:pStyle w:val="4"/>
        <w:keepNext w:val="0"/>
        <w:keepLines w:val="0"/>
        <w:pageBreakBefore w:val="0"/>
        <w:widowControl/>
        <w:kinsoku/>
        <w:wordWrap/>
        <w:overflowPunct/>
        <w:topLinePunct w:val="0"/>
        <w:autoSpaceDE/>
        <w:autoSpaceDN/>
        <w:bidi w:val="0"/>
        <w:adjustRightInd/>
        <w:snapToGrid/>
        <w:spacing w:before="0" w:after="0" w:line="560" w:lineRule="exact"/>
        <w:ind w:leftChars="0" w:firstLine="640" w:firstLineChars="200"/>
        <w:jc w:val="both"/>
        <w:textAlignment w:val="auto"/>
        <w:rPr>
          <w:rFonts w:hint="default" w:ascii="仿宋_GB2312" w:hAnsi="楷体_GB2312" w:eastAsia="仿宋_GB2312" w:cs="楷体_GB2312"/>
          <w:sz w:val="32"/>
          <w:szCs w:val="32"/>
          <w:lang w:val="en-US" w:eastAsia="zh-CN"/>
        </w:rPr>
      </w:pPr>
      <w:r>
        <w:rPr>
          <w:rFonts w:hint="eastAsia" w:ascii="仿宋_GB2312" w:hAnsi="楷体_GB2312" w:eastAsia="仿宋_GB2312" w:cs="楷体_GB2312"/>
          <w:sz w:val="32"/>
          <w:szCs w:val="32"/>
          <w:lang w:val="en-US" w:eastAsia="zh-CN"/>
        </w:rPr>
        <w:t>编制说明：本报告是根据《中华人民共和国政府信息公开条例》（国务院令第711号）和《国务院办公厅政府信息与政务公开办公室关于政府信息公开工作年度报告有关事项的通知》（国办公开办函〔2019〕60号）、国务院办公厅政府信息与政务公开办公室关于印发《中华人民共和国政府信息公开工作年度报告格式》的通知（国办公开办函〔2021〕30号）文件要求编制。全文包含总体情况、主动公开政府信息情况、收到和处理政府信息公开申请情况、因政府信息公开工作被申请行政复议、提起行政诉讼情况、政府信息公开工作存在的主要问题及改进情况、其他需要报告的事项六个方面。</w:t>
      </w:r>
      <w:r>
        <w:rPr>
          <w:rFonts w:hint="default" w:ascii="仿宋_GB2312" w:hAnsi="楷体_GB2312" w:eastAsia="仿宋_GB2312" w:cs="楷体_GB2312"/>
          <w:sz w:val="32"/>
          <w:szCs w:val="32"/>
          <w:lang w:val="en-US" w:eastAsia="zh-CN"/>
        </w:rPr>
        <w:t>本报告所列数据的统计期限自202</w:t>
      </w:r>
      <w:r>
        <w:rPr>
          <w:rFonts w:hint="eastAsia" w:ascii="仿宋_GB2312" w:hAnsi="楷体_GB2312" w:eastAsia="仿宋_GB2312" w:cs="楷体_GB2312"/>
          <w:sz w:val="32"/>
          <w:szCs w:val="32"/>
          <w:lang w:val="en-US" w:eastAsia="zh-CN"/>
        </w:rPr>
        <w:t>4</w:t>
      </w:r>
      <w:r>
        <w:rPr>
          <w:rFonts w:hint="default" w:ascii="仿宋_GB2312" w:hAnsi="楷体_GB2312" w:eastAsia="仿宋_GB2312" w:cs="楷体_GB2312"/>
          <w:sz w:val="32"/>
          <w:szCs w:val="32"/>
          <w:lang w:val="en-US" w:eastAsia="zh-CN"/>
        </w:rPr>
        <w:t>年1月1日起至12月31日止。</w:t>
      </w:r>
    </w:p>
    <w:p w14:paraId="6C98645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eastAsia="zh-CN"/>
        </w:rPr>
        <w:t>一、总体情况</w:t>
      </w:r>
    </w:p>
    <w:p w14:paraId="3A9C1FFD">
      <w:pPr>
        <w:pStyle w:val="4"/>
        <w:keepNext w:val="0"/>
        <w:keepLines w:val="0"/>
        <w:pageBreakBefore w:val="0"/>
        <w:widowControl/>
        <w:kinsoku/>
        <w:wordWrap/>
        <w:overflowPunct/>
        <w:topLinePunct w:val="0"/>
        <w:autoSpaceDE/>
        <w:autoSpaceDN/>
        <w:bidi w:val="0"/>
        <w:adjustRightInd/>
        <w:snapToGrid/>
        <w:spacing w:before="0" w:after="0" w:line="560" w:lineRule="exact"/>
        <w:ind w:leftChars="0" w:firstLine="640" w:firstLineChars="200"/>
        <w:jc w:val="both"/>
        <w:textAlignment w:val="auto"/>
        <w:rPr>
          <w:rFonts w:hint="eastAsia" w:ascii="仿宋_GB2312" w:hAnsi="楷体_GB2312" w:eastAsia="仿宋_GB2312" w:cs="楷体_GB2312"/>
          <w:sz w:val="32"/>
          <w:szCs w:val="32"/>
          <w:lang w:val="en-US" w:eastAsia="zh-CN"/>
        </w:rPr>
      </w:pPr>
      <w:r>
        <w:rPr>
          <w:rFonts w:hint="eastAsia" w:ascii="仿宋_GB2312" w:hAnsi="楷体_GB2312" w:eastAsia="仿宋_GB2312" w:cs="楷体_GB2312"/>
          <w:sz w:val="32"/>
          <w:szCs w:val="32"/>
          <w:lang w:val="en-US" w:eastAsia="zh-CN"/>
        </w:rPr>
        <w:t>2024年，区金融发展服务中心高度重视政府信息公开工作，严格按照《中华人民共和国政府信息公开条例》相关要求贯彻落实，切实做好政务信息公开工作，把做好政府信息公开工作列入议事日程中。</w:t>
      </w:r>
    </w:p>
    <w:p w14:paraId="5152FC8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right="0" w:firstLine="622" w:firstLineChars="200"/>
        <w:jc w:val="both"/>
        <w:textAlignment w:val="auto"/>
        <w:rPr>
          <w:rFonts w:hint="eastAsia" w:ascii="仿宋_GB2312" w:hAnsi="楷体_GB2312" w:eastAsia="仿宋_GB2312" w:cs="楷体_GB2312"/>
          <w:sz w:val="32"/>
          <w:szCs w:val="32"/>
          <w:lang w:val="en-US" w:eastAsia="zh-CN"/>
        </w:rPr>
      </w:pPr>
      <w:r>
        <w:rPr>
          <w:rStyle w:val="7"/>
          <w:rFonts w:ascii="楷体_GB2312" w:eastAsia="楷体_GB2312" w:cs="楷体_GB2312"/>
          <w:sz w:val="31"/>
          <w:szCs w:val="31"/>
        </w:rPr>
        <w:t>（一）完善工作机制。</w:t>
      </w:r>
      <w:r>
        <w:rPr>
          <w:rFonts w:hint="eastAsia" w:ascii="仿宋_GB2312" w:hAnsi="楷体_GB2312" w:eastAsia="仿宋_GB2312" w:cs="楷体_GB2312"/>
          <w:sz w:val="32"/>
          <w:szCs w:val="32"/>
          <w:lang w:val="en-US" w:eastAsia="zh-CN"/>
        </w:rPr>
        <w:t>坚持公开透明原则，安排专人负责政府信息公开（包括政务公开）的综合管理及日常维护。严把信息公开审批关，认真做好政务信息公开保密审查工作。紧盯办理时间，力求公开及时，并定期开展政府信息公开自查，确保信息公开工作及时、规范、有序、安全。全年没有发生因政务公开工作而被追责的情况。</w:t>
      </w:r>
    </w:p>
    <w:p w14:paraId="1F5D5920">
      <w:pPr>
        <w:pStyle w:val="2"/>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Chars="0" w:firstLine="622" w:firstLineChars="200"/>
        <w:jc w:val="both"/>
        <w:textAlignment w:val="auto"/>
        <w:rPr>
          <w:rFonts w:hint="eastAsia" w:ascii="仿宋_GB2312" w:hAnsi="楷体_GB2312" w:eastAsia="仿宋_GB2312" w:cs="楷体_GB2312"/>
          <w:i w:val="0"/>
          <w:kern w:val="0"/>
          <w:sz w:val="32"/>
          <w:szCs w:val="32"/>
          <w:lang w:val="en-US" w:eastAsia="zh-CN" w:bidi="ar"/>
        </w:rPr>
      </w:pPr>
      <w:r>
        <w:rPr>
          <w:rStyle w:val="7"/>
          <w:rFonts w:hint="eastAsia" w:ascii="楷体_GB2312" w:hAnsi="Times New Roman" w:eastAsia="楷体_GB2312" w:cs="楷体_GB2312"/>
          <w:i w:val="0"/>
          <w:kern w:val="0"/>
          <w:sz w:val="31"/>
          <w:szCs w:val="31"/>
          <w:lang w:val="en-US" w:eastAsia="zh-CN" w:bidi="ar"/>
        </w:rPr>
        <w:t>（二）强化公开意识。</w:t>
      </w:r>
      <w:r>
        <w:rPr>
          <w:rFonts w:hint="eastAsia" w:ascii="仿宋_GB2312" w:hAnsi="楷体_GB2312" w:eastAsia="仿宋_GB2312" w:cs="楷体_GB2312"/>
          <w:i w:val="0"/>
          <w:kern w:val="0"/>
          <w:sz w:val="32"/>
          <w:szCs w:val="32"/>
          <w:lang w:val="en-US" w:eastAsia="zh-CN" w:bidi="ar"/>
        </w:rPr>
        <w:t>组织全体干部认真学习《条例》，使广大干部对政府信息公开的主体和原则、范围和内容、方式和程序、监督和保障等有了明确的了解，不断提高对推行政府信息公开重要意义的认识。安排工作人员参与区政府组织的政府信息公开工作培训，及时开展政府信息的清理和指南、目录编制工作。同时，注重畅通公开渠道，整合网站、微信等相关资源，保障人民群众对政府工作的知情权、参与权等。</w:t>
      </w:r>
    </w:p>
    <w:p w14:paraId="5E9DBB97">
      <w:pPr>
        <w:keepNext w:val="0"/>
        <w:keepLines w:val="0"/>
        <w:pageBreakBefore w:val="0"/>
        <w:kinsoku/>
        <w:wordWrap/>
        <w:overflowPunct/>
        <w:topLinePunct w:val="0"/>
        <w:autoSpaceDE/>
        <w:autoSpaceDN/>
        <w:bidi w:val="0"/>
        <w:adjustRightInd/>
        <w:snapToGrid/>
        <w:spacing w:line="560" w:lineRule="exact"/>
        <w:ind w:leftChars="0" w:firstLine="622" w:firstLineChars="200"/>
        <w:jc w:val="both"/>
        <w:textAlignment w:val="auto"/>
        <w:rPr>
          <w:rFonts w:hint="default" w:ascii="仿宋_GB2312" w:hAnsi="楷体_GB2312" w:eastAsia="仿宋_GB2312" w:cs="楷体_GB2312"/>
          <w:i w:val="0"/>
          <w:kern w:val="0"/>
          <w:sz w:val="32"/>
          <w:szCs w:val="32"/>
          <w:lang w:val="en-US" w:eastAsia="zh-CN" w:bidi="ar"/>
        </w:rPr>
      </w:pPr>
      <w:r>
        <w:rPr>
          <w:rStyle w:val="7"/>
          <w:rFonts w:hint="eastAsia" w:ascii="楷体_GB2312" w:hAnsi="Times New Roman" w:eastAsia="楷体_GB2312" w:cs="楷体_GB2312"/>
          <w:kern w:val="0"/>
          <w:sz w:val="31"/>
          <w:szCs w:val="31"/>
          <w:lang w:val="en-US" w:eastAsia="zh-CN" w:bidi="ar"/>
        </w:rPr>
        <w:t>（三）落实监督保障。</w:t>
      </w:r>
      <w:r>
        <w:rPr>
          <w:rFonts w:hint="eastAsia" w:ascii="仿宋_GB2312" w:hAnsi="楷体_GB2312" w:eastAsia="仿宋_GB2312" w:cs="楷体_GB2312"/>
          <w:i w:val="0"/>
          <w:kern w:val="0"/>
          <w:sz w:val="32"/>
          <w:szCs w:val="32"/>
          <w:lang w:val="en-US" w:eastAsia="zh-CN" w:bidi="ar"/>
        </w:rPr>
        <w:t>采取多种形式，强化监督检查工作，实行定期与不定期检查相结合的方式，鼓励干部、群众积极参与监督，反映公开过程中存在的突出问题，使公开工作更加扎实、有序开展。日常加强信息发布的自查整改，严格对照信息公开网络测评要求，如发现问题，立即整改。2024年，我中心共公开信息52条，其中政务动态32条。</w:t>
      </w:r>
    </w:p>
    <w:p w14:paraId="28FE4EF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0" w:firstLineChars="200"/>
        <w:jc w:val="both"/>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主动公开政府信息情况</w:t>
      </w:r>
    </w:p>
    <w:tbl>
      <w:tblPr>
        <w:tblStyle w:val="5"/>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14:paraId="3BCAB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7A052A38">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14:paraId="4A1D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45C9AA0F">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14:paraId="3F52C291">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14:paraId="06629C54">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14:paraId="71B82424">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14:paraId="6C96A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3BC276B5">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14:paraId="45D25499">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14:paraId="3DC9032F">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14:paraId="7B5B709C">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r w14:paraId="78DB2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27925458">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14:paraId="28B84E57">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14:paraId="34971299">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14:paraId="2015B28F">
            <w:pPr>
              <w:jc w:val="center"/>
              <w:rPr>
                <w:rFonts w:hint="default" w:eastAsia="宋体"/>
                <w:kern w:val="2"/>
                <w:sz w:val="21"/>
                <w:lang w:val="en-US" w:eastAsia="zh-CN"/>
              </w:rPr>
            </w:pPr>
            <w:r>
              <w:rPr>
                <w:rFonts w:hint="eastAsia"/>
                <w:lang w:val="en-US" w:eastAsia="zh-CN"/>
              </w:rPr>
              <w:t>0</w:t>
            </w:r>
          </w:p>
        </w:tc>
      </w:tr>
      <w:tr w14:paraId="52E44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524E368A">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14:paraId="4786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015CF3B0">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1E753908">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14:paraId="202CB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675FFAE8">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14:paraId="3FABA550">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E35A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65F2302F">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14:paraId="1D08A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3A993751">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0CB4F341">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14:paraId="56D8E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7B41E522">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14:paraId="7ED1B26D">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1B395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10636BF7">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14:paraId="0EFFE705">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C9E1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14:paraId="413F9E2F">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14:paraId="0E721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1EC0DBFD">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14:paraId="0A207629">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14:paraId="617CA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14:paraId="5D221546">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14:paraId="2057762C">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14:paraId="5BA56FE0">
      <w:pPr>
        <w:pStyle w:val="2"/>
        <w:keepNext w:val="0"/>
        <w:keepLines w:val="0"/>
        <w:pageBreakBefore w:val="0"/>
        <w:kinsoku/>
        <w:wordWrap/>
        <w:overflowPunct/>
        <w:topLinePunct w:val="0"/>
        <w:autoSpaceDE/>
        <w:autoSpaceDN/>
        <w:bidi w:val="0"/>
        <w:adjustRightInd/>
        <w:snapToGrid/>
        <w:spacing w:line="560" w:lineRule="exact"/>
        <w:ind w:leftChars="0" w:firstLine="420" w:firstLineChars="200"/>
        <w:jc w:val="both"/>
        <w:textAlignment w:val="auto"/>
        <w:rPr>
          <w:rFonts w:hint="eastAsia"/>
        </w:rPr>
      </w:pPr>
    </w:p>
    <w:p w14:paraId="4D54B01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jc w:val="both"/>
        <w:textAlignment w:val="auto"/>
        <w:outlineLvl w:val="9"/>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收到和处理政府信息公开申请情况</w:t>
      </w:r>
    </w:p>
    <w:tbl>
      <w:tblPr>
        <w:tblStyle w:val="5"/>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14:paraId="5CBAD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14:paraId="0ECA6C49">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14:paraId="62801C93">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14:paraId="08D4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14:paraId="4FD9FA55">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14:paraId="30512FA8">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14:paraId="16C1F91C">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14:paraId="7A1BF315">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14:paraId="2E121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14:paraId="2723A4ED">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14:paraId="5E161804">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14:paraId="3EC3C4E2">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14:paraId="6DF22C43">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14:paraId="4DAFEB47">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14:paraId="57CE5064">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14:paraId="3EC358F9">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14:paraId="7B7EBD21">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14:paraId="647DC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14:paraId="3507524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14:paraId="593DD4A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973976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26DD81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558C355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D8CFF0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85BD30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17952E5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99A2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14:paraId="3F7EA6C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14:paraId="13C6C96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5986DF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758EA0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0A453AC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B933AE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E7ACF6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445B7B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2D9B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14:paraId="02997F6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14:paraId="4069C837">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14:paraId="34820EB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CA8517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1BEB5B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7329F4F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3506CF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1B0665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E23BC9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05A33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369993F9">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14:paraId="30E81ED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14:paraId="062BFFD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364F07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097FCB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0A8815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CEADD2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1295F29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A7E0809">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5CEC8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6E07375">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6CD4C3C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14:paraId="2A880E9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14:paraId="58F2F5B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33F460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BEA7CA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74B1E1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DDE8F0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2A1629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13207A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D458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3FD343E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4E081A5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41C1211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14:paraId="2A3C9CC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77C9BD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A721D9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716E71D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294DDFF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ADD073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CB5956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48E9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14:paraId="3029A45E">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3DBCD7B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007DF73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14:paraId="4137E78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8445E6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9EDB24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0CDC06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D2CB17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FD912B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5127F4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04A51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14:paraId="017DDC2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F66F43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75FF3D3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14:paraId="0F50F6B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B0E81E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5C35B7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E8F59A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D8B345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526B85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B0B1B4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12000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4F6B032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0C689ED0">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4C0288A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14:paraId="7CCD661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A70361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0634F5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5DA24E0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4BD9F5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EB6C89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F79361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016B6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14:paraId="568E130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C533D7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77D8479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14:paraId="7F854E9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E2E4D3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53E1E6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72922D5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15829F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A844F9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6915DE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4F3A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14:paraId="3857849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77DF61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68925D99">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14:paraId="664164F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7770E3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732CEFA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10B585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90968C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E94A2F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513E84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1A1E1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14:paraId="0866B4E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0A90F005">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70F080DE">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14:paraId="3CE5603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EB331D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84D383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ED142B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86BF68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C78627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91B69D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74574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3C626AD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15D1CAF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14:paraId="115ADC9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14:paraId="344A9DF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EA50BE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CD1992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638A3C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023CE5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D987B8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094F99FE">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6BDA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518AAA6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7D7F840">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25FE053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14:paraId="62158C6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D5C04D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2F7BD8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D01EF0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D048EA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1CC6ECE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38C779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8CE0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7D26413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EFC6909">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3B01986C">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14:paraId="1DFEE22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EB611C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F7D0E7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3FA0AF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B8348C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4D6B453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69699CD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3BAD2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14:paraId="6C72AB3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14:paraId="74980EA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14:paraId="284ED53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14:paraId="09AD2E52">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ECF858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E12B1B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AB9050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10A3B83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732013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10AC752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6C2F8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14:paraId="04829D8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19D37A31">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2E89E71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14:paraId="05504A0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85C2EF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0505F7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6934BD1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8729E0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7B8CAA3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FCB0F53">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r w14:paraId="67452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14:paraId="5BE954E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2ED8D6E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6BCD578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14:paraId="7C60AFE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219A7B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ADBD8C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7CD8BCE">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042AEF9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38E51A7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4DBC8AF0">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r w14:paraId="6042F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54083DD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626F63A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2015B2B6">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14:paraId="0B97A2B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B9C3FF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FF16BF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2B28B7A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2DE63434">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33B323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8D0300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0B69B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14:paraId="136E96D2">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14:paraId="3788177E">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14:paraId="7169385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14:paraId="129D2CA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B3CC9A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BCC683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A90381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55A3E3C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52CD8D7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95C5B5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4CC02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14:paraId="324BD82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14:paraId="17CF119F">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14:paraId="01EAE977">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14:paraId="4008087F">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3A73AD52">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6B05B8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5B629DD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A640F3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1A12B34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76A59CF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12C2B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14:paraId="72FB6D33">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14:paraId="083C58B4">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14:paraId="0F961474">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14:paraId="5D2BB89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4C8573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23263E0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31BFDC7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7B329B1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04540DD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3227BD1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14:paraId="21830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14:paraId="39018F08">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14:paraId="4A5506E5">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14:paraId="21036F62">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14:paraId="26C896DA">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56D21C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149369D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4C8BEB6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6D7F48F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1E35A63">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7BF7993">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r w14:paraId="45B36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14:paraId="0B33824A">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14:paraId="56BEF6CD">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14:paraId="2B81A86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40581CB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0F97102C">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6226FA1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0733B0D">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647A786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5A5F7AF4">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r w14:paraId="450AB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14:paraId="2423E60E">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14:paraId="4DCE3E5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5A3F23F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14:paraId="6896476F">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14:paraId="16CFFE35">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14:paraId="4BBF06B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14:paraId="262948F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14:paraId="2B1D91C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bl>
    <w:p w14:paraId="6D02492E">
      <w:pPr>
        <w:pStyle w:val="2"/>
        <w:keepNext w:val="0"/>
        <w:keepLines w:val="0"/>
        <w:pageBreakBefore w:val="0"/>
        <w:numPr>
          <w:ilvl w:val="0"/>
          <w:numId w:val="0"/>
        </w:numPr>
        <w:kinsoku/>
        <w:wordWrap/>
        <w:overflowPunct/>
        <w:topLinePunct w:val="0"/>
        <w:autoSpaceDE/>
        <w:autoSpaceDN/>
        <w:bidi w:val="0"/>
        <w:adjustRightInd/>
        <w:snapToGrid/>
        <w:spacing w:line="560" w:lineRule="exact"/>
        <w:ind w:leftChars="0" w:firstLine="420" w:firstLineChars="200"/>
        <w:jc w:val="both"/>
        <w:textAlignment w:val="auto"/>
      </w:pPr>
    </w:p>
    <w:p w14:paraId="3C9E8865">
      <w:pPr>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5"/>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14:paraId="5508B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14:paraId="25C5F8BD">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14:paraId="3D09664F">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14:paraId="0C13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14:paraId="34CBE871">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14:paraId="4B78CCCD">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14:paraId="6C502066">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14:paraId="401AF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14:paraId="2F66709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14:paraId="4877B9E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09362AA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14:paraId="2AF8E67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14:paraId="291B904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14:paraId="41BFB5F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14:paraId="161F8059">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170C1CD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14:paraId="2BD7CF51">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14:paraId="38BCD0F6">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14:paraId="456DC0C8">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14:paraId="03577B80">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14:paraId="2A33A93A">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14:paraId="467473DB">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14:paraId="06A63557">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14:paraId="10667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14:paraId="1703FE9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640CC4C7">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267970B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14:paraId="1212344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14:paraId="7E243C6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14:paraId="3D56AA4D">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14:paraId="4CC0EBBB">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299A5F8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14:paraId="7C34E22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14:paraId="32DDB2DC">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1F634BC6">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5C0F807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6A55A255">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14:paraId="4E8C1D71">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14:paraId="09813F08">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kern w:val="2"/>
                <w:sz w:val="24"/>
                <w:szCs w:val="24"/>
                <w:lang w:val="en-US" w:eastAsia="zh-CN"/>
              </w:rPr>
            </w:pPr>
            <w:r>
              <w:rPr>
                <w:rFonts w:hint="eastAsia" w:ascii="仿宋_GB2312" w:hAnsi="仿宋_GB2312" w:eastAsia="仿宋_GB2312" w:cs="仿宋_GB2312"/>
                <w:sz w:val="24"/>
                <w:szCs w:val="24"/>
                <w:lang w:val="en-US" w:eastAsia="zh-CN"/>
              </w:rPr>
              <w:t>0</w:t>
            </w:r>
          </w:p>
        </w:tc>
      </w:tr>
    </w:tbl>
    <w:p w14:paraId="420B4EFA">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pPr>
    </w:p>
    <w:p w14:paraId="0D87C93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snapToGrid w:val="0"/>
          <w:color w:val="000000"/>
          <w:kern w:val="2"/>
          <w:sz w:val="32"/>
          <w:szCs w:val="32"/>
          <w:shd w:val="clear" w:color="auto" w:fill="FFFFFF"/>
          <w:lang w:val="en-US" w:eastAsia="zh-CN"/>
        </w:rPr>
      </w:pPr>
      <w:r>
        <w:rPr>
          <w:rFonts w:hint="eastAsia" w:ascii="黑体" w:hAnsi="黑体" w:eastAsia="黑体" w:cs="黑体"/>
          <w:snapToGrid w:val="0"/>
          <w:color w:val="000000"/>
          <w:kern w:val="2"/>
          <w:sz w:val="32"/>
          <w:szCs w:val="32"/>
          <w:shd w:val="clear" w:color="auto" w:fill="FFFFFF"/>
          <w:lang w:val="en-US" w:eastAsia="zh-CN"/>
        </w:rPr>
        <w:t>五、存在的主要问题及改进情况</w:t>
      </w:r>
    </w:p>
    <w:p w14:paraId="77B99FDE">
      <w:pPr>
        <w:keepNext w:val="0"/>
        <w:keepLines w:val="0"/>
        <w:pageBreakBefore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楷体_GB2312" w:eastAsia="仿宋_GB2312" w:cs="楷体_GB2312"/>
          <w:i w:val="0"/>
          <w:kern w:val="0"/>
          <w:sz w:val="32"/>
          <w:szCs w:val="32"/>
          <w:lang w:val="en-US" w:eastAsia="zh-CN" w:bidi="ar"/>
        </w:rPr>
      </w:pPr>
      <w:r>
        <w:rPr>
          <w:rFonts w:hint="eastAsia" w:ascii="仿宋_GB2312" w:hAnsi="楷体_GB2312" w:eastAsia="仿宋_GB2312" w:cs="楷体_GB2312"/>
          <w:i w:val="0"/>
          <w:kern w:val="0"/>
          <w:sz w:val="32"/>
          <w:szCs w:val="32"/>
          <w:lang w:val="en-US" w:eastAsia="zh-CN" w:bidi="ar"/>
        </w:rPr>
        <w:t>2024年，我中心政务信息公开工作虽然取得了一定进展，但离区委、区政府和人民群众的要求还存在一定差距。一是政务信息质量还有待进一步提升；二是信息公开的时效性有待于进一步提高。针对上述问题，我中心将从以下几个方面积极改进：一是认真贯彻落实《中华人民共和国政府信息公开条例》，密切关注金融领域群众关心的重点、热点问题，</w:t>
      </w:r>
      <w:r>
        <w:rPr>
          <w:rFonts w:hint="eastAsia" w:ascii="仿宋_GB2312" w:eastAsia="仿宋_GB2312"/>
          <w:sz w:val="32"/>
          <w:szCs w:val="32"/>
        </w:rPr>
        <w:t>以公众喜闻乐见的方式和通俗易懂的语言，增强政务信息的针对性</w:t>
      </w:r>
      <w:r>
        <w:rPr>
          <w:rFonts w:hint="eastAsia" w:ascii="仿宋_GB2312" w:hAnsi="楷体_GB2312" w:eastAsia="仿宋_GB2312" w:cs="楷体_GB2312"/>
          <w:i w:val="0"/>
          <w:kern w:val="0"/>
          <w:sz w:val="32"/>
          <w:szCs w:val="32"/>
          <w:lang w:val="en-US" w:eastAsia="zh-CN" w:bidi="ar"/>
        </w:rPr>
        <w:t>；二是进一步加快健全工作机制，强化落实工作措施，通过各种有效形式，及时、主动地把公开项目的有关情况向公众公</w:t>
      </w:r>
      <w:bookmarkStart w:id="0" w:name="_GoBack"/>
      <w:bookmarkEnd w:id="0"/>
      <w:r>
        <w:rPr>
          <w:rFonts w:hint="eastAsia" w:ascii="仿宋_GB2312" w:hAnsi="楷体_GB2312" w:eastAsia="仿宋_GB2312" w:cs="楷体_GB2312"/>
          <w:i w:val="0"/>
          <w:kern w:val="0"/>
          <w:sz w:val="32"/>
          <w:szCs w:val="32"/>
          <w:lang w:val="en-US" w:eastAsia="zh-CN" w:bidi="ar"/>
        </w:rPr>
        <w:t>开。</w:t>
      </w:r>
    </w:p>
    <w:p w14:paraId="5B8154E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eastAsia" w:ascii="黑体" w:hAnsi="黑体" w:eastAsia="黑体" w:cs="黑体"/>
          <w:snapToGrid w:val="0"/>
          <w:color w:val="000000"/>
          <w:kern w:val="2"/>
          <w:sz w:val="32"/>
          <w:szCs w:val="32"/>
          <w:shd w:val="clear" w:color="auto" w:fill="FFFFFF"/>
          <w:lang w:val="en-US" w:eastAsia="zh-CN"/>
        </w:rPr>
      </w:pPr>
      <w:r>
        <w:rPr>
          <w:rFonts w:hint="eastAsia" w:ascii="黑体" w:hAnsi="黑体" w:eastAsia="黑体" w:cs="黑体"/>
          <w:snapToGrid w:val="0"/>
          <w:color w:val="000000"/>
          <w:kern w:val="2"/>
          <w:sz w:val="32"/>
          <w:szCs w:val="32"/>
          <w:shd w:val="clear" w:color="auto" w:fill="FFFFFF"/>
          <w:lang w:val="en-US" w:eastAsia="zh-CN"/>
        </w:rPr>
        <w:t>六、其他需要报告的事项</w:t>
      </w:r>
    </w:p>
    <w:p w14:paraId="72562D15">
      <w:pPr>
        <w:keepNext w:val="0"/>
        <w:keepLines w:val="0"/>
        <w:pageBreakBefore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楷体_GB2312" w:eastAsia="仿宋_GB2312" w:cs="楷体_GB2312"/>
          <w:i w:val="0"/>
          <w:kern w:val="0"/>
          <w:sz w:val="32"/>
          <w:szCs w:val="32"/>
          <w:lang w:val="en-US" w:eastAsia="zh-CN" w:bidi="ar"/>
        </w:rPr>
      </w:pPr>
      <w:r>
        <w:rPr>
          <w:rFonts w:hint="eastAsia" w:ascii="仿宋_GB2312" w:hAnsi="楷体_GB2312" w:eastAsia="仿宋_GB2312" w:cs="楷体_GB2312"/>
          <w:i w:val="0"/>
          <w:kern w:val="0"/>
          <w:sz w:val="32"/>
          <w:szCs w:val="32"/>
          <w:lang w:val="en-US" w:eastAsia="zh-CN" w:bidi="ar"/>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14:paraId="0087688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xml:space="preserve">   </w:t>
      </w:r>
    </w:p>
    <w:p w14:paraId="1D8B29CB"/>
    <w:sectPr>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07AC88"/>
    <w:multiLevelType w:val="singleLevel"/>
    <w:tmpl w:val="E007AC8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0E49CD"/>
    <w:rsid w:val="10654ECD"/>
    <w:rsid w:val="136D330E"/>
    <w:rsid w:val="21B450E3"/>
    <w:rsid w:val="3D5B43C5"/>
    <w:rsid w:val="52F56956"/>
    <w:rsid w:val="630E49CD"/>
    <w:rsid w:val="65F22A5C"/>
    <w:rsid w:val="66CD7A88"/>
    <w:rsid w:val="6D46708E"/>
    <w:rsid w:val="77393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jc w:val="both"/>
    </w:pPr>
    <w:rPr>
      <w:rFonts w:ascii="Times New Roman" w:hAnsi="Times New Roman" w:eastAsia="宋体" w:cs="Times New Roman"/>
      <w:kern w:val="2"/>
      <w:sz w:val="21"/>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925</Words>
  <Characters>951</Characters>
  <Lines>0</Lines>
  <Paragraphs>0</Paragraphs>
  <TotalTime>8</TotalTime>
  <ScaleCrop>false</ScaleCrop>
  <LinksUpToDate>false</LinksUpToDate>
  <CharactersWithSpaces>954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2024-12-31T05:54:00Z</dcterms:created>
  <dc:creator>Administrator</dc:creator>
  <cp:lastModifiedBy>WPS_1668775272</cp:lastModifiedBy>
  <dcterms:modified xsi:type="dcterms:W3CDTF">2025-02-07T02:20:45Z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eyJoZGlkIjoiNzE4ZDU3ZTE2ZGU3OTFiZjhjN2NhNDQyMDJhZjFmZTciLCJ1c2VySWQiOiIxNDQzODUwNjU3In0=</vt:lpwstr>
  </property>
  <property fmtid="{D5CDD505-2E9C-101B-9397-08002B2CF9AE}" pid="4" name="ICV">
    <vt:lpwstr>C49F8B8BB9374D8AA0036965EC9150F2_12</vt:lpwstr>
  </property>
</Properties>
</file>