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jc w:val="center"/>
        <w:textAlignment w:val="auto"/>
        <w:rPr>
          <w:rFonts w:hint="eastAsia" w:ascii="方正小标宋简体" w:hAnsi="方正小标宋简体" w:eastAsia="方正小标宋简体" w:cs="方正小标宋简体"/>
          <w:b w:val="0"/>
          <w:bCs/>
          <w:snapToGrid w:val="0"/>
          <w:color w:val="000000"/>
          <w:spacing w:val="-11"/>
          <w:sz w:val="36"/>
          <w:lang w:eastAsia="zh-CN"/>
        </w:rPr>
      </w:pPr>
    </w:p>
    <w:p>
      <w:pPr>
        <w:pStyle w:val="6"/>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jc w:val="center"/>
        <w:textAlignment w:val="auto"/>
        <w:rPr>
          <w:rFonts w:hint="eastAsia" w:ascii="方正小标宋简体" w:hAnsi="方正小标宋简体" w:eastAsia="方正小标宋简体" w:cs="方正小标宋简体"/>
          <w:b w:val="0"/>
          <w:bCs/>
          <w:snapToGrid w:val="0"/>
          <w:color w:val="000000"/>
          <w:spacing w:val="-11"/>
          <w:sz w:val="36"/>
        </w:rPr>
      </w:pPr>
      <w:r>
        <w:rPr>
          <w:rFonts w:hint="eastAsia" w:ascii="方正小标宋简体" w:hAnsi="方正小标宋简体" w:eastAsia="方正小标宋简体" w:cs="方正小标宋简体"/>
          <w:b w:val="0"/>
          <w:bCs/>
          <w:snapToGrid w:val="0"/>
          <w:color w:val="000000"/>
          <w:spacing w:val="-11"/>
          <w:sz w:val="36"/>
          <w:lang w:eastAsia="zh-CN"/>
        </w:rPr>
        <w:t>新碶</w:t>
      </w:r>
      <w:r>
        <w:rPr>
          <w:rFonts w:hint="eastAsia" w:ascii="方正小标宋简体" w:hAnsi="方正小标宋简体" w:eastAsia="方正小标宋简体" w:cs="方正小标宋简体"/>
          <w:b w:val="0"/>
          <w:bCs/>
          <w:snapToGrid w:val="0"/>
          <w:color w:val="000000"/>
          <w:spacing w:val="-11"/>
          <w:sz w:val="36"/>
        </w:rPr>
        <w:t>街道办事处202</w:t>
      </w:r>
      <w:r>
        <w:rPr>
          <w:rFonts w:hint="eastAsia" w:ascii="方正小标宋简体" w:hAnsi="方正小标宋简体" w:eastAsia="方正小标宋简体" w:cs="方正小标宋简体"/>
          <w:b w:val="0"/>
          <w:bCs/>
          <w:snapToGrid w:val="0"/>
          <w:color w:val="000000"/>
          <w:spacing w:val="-11"/>
          <w:sz w:val="36"/>
          <w:lang w:val="en-US" w:eastAsia="zh-CN"/>
        </w:rPr>
        <w:t>1</w:t>
      </w:r>
      <w:r>
        <w:rPr>
          <w:rFonts w:hint="eastAsia" w:ascii="方正小标宋简体" w:hAnsi="方正小标宋简体" w:eastAsia="方正小标宋简体" w:cs="方正小标宋简体"/>
          <w:b w:val="0"/>
          <w:bCs/>
          <w:snapToGrid w:val="0"/>
          <w:color w:val="000000"/>
          <w:spacing w:val="-11"/>
          <w:sz w:val="36"/>
        </w:rPr>
        <w:t>年度政府信息公开工作年度报告</w:t>
      </w:r>
    </w:p>
    <w:p>
      <w:pPr>
        <w:pStyle w:val="6"/>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640" w:firstLineChars="200"/>
        <w:jc w:val="both"/>
        <w:textAlignment w:val="auto"/>
        <w:rPr>
          <w:rFonts w:hint="eastAsia" w:ascii="黑体" w:hAnsi="黑体" w:eastAsia="黑体" w:cs="黑体"/>
          <w:b w:val="0"/>
          <w:bCs/>
          <w:color w:val="000000"/>
          <w:sz w:val="32"/>
          <w:szCs w:val="32"/>
        </w:rPr>
      </w:pPr>
    </w:p>
    <w:p>
      <w:pPr>
        <w:pStyle w:val="6"/>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640" w:firstLineChars="200"/>
        <w:jc w:val="both"/>
        <w:textAlignment w:val="auto"/>
        <w:rPr>
          <w:rFonts w:hint="eastAsia" w:ascii="黑体" w:hAnsi="黑体" w:eastAsia="黑体" w:cs="黑体"/>
          <w:b w:val="0"/>
          <w:bCs/>
          <w:color w:val="000000"/>
          <w:sz w:val="32"/>
          <w:szCs w:val="32"/>
          <w:lang w:eastAsia="zh-CN"/>
        </w:rPr>
      </w:pPr>
      <w:r>
        <w:rPr>
          <w:rFonts w:hint="eastAsia" w:ascii="黑体" w:hAnsi="黑体" w:eastAsia="黑体" w:cs="黑体"/>
          <w:b w:val="0"/>
          <w:bCs/>
          <w:color w:val="000000"/>
          <w:sz w:val="32"/>
          <w:szCs w:val="32"/>
        </w:rPr>
        <w:t>一、总体情况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2147483648" w:beforeAutospacing="0" w:after="0" w:afterLines="-2147483648" w:afterAutospacing="0" w:line="560" w:lineRule="exact"/>
        <w:ind w:right="0" w:firstLine="640" w:firstLineChars="200"/>
        <w:jc w:val="left"/>
        <w:textAlignment w:val="auto"/>
        <w:rPr>
          <w:rFonts w:hint="eastAsia" w:ascii="仿宋_GB2312" w:hAnsi="仿宋_GB2312" w:eastAsia="仿宋_GB2312" w:cs="仿宋_GB2312"/>
          <w:i w:val="0"/>
          <w:caps w:val="0"/>
          <w:color w:val="333333"/>
          <w:spacing w:val="0"/>
          <w:kern w:val="0"/>
          <w:sz w:val="32"/>
          <w:szCs w:val="32"/>
          <w:shd w:val="clear" w:color="auto" w:fill="FFFFFF"/>
          <w:lang w:val="en-US" w:eastAsia="zh-CN" w:bidi="ar"/>
        </w:rPr>
      </w:pPr>
      <w:r>
        <w:rPr>
          <w:rFonts w:hint="eastAsia" w:ascii="仿宋_GB2312" w:hAnsi="仿宋_GB2312" w:eastAsia="仿宋_GB2312" w:cs="仿宋_GB2312"/>
          <w:i w:val="0"/>
          <w:caps w:val="0"/>
          <w:color w:val="333333"/>
          <w:spacing w:val="0"/>
          <w:kern w:val="0"/>
          <w:sz w:val="32"/>
          <w:szCs w:val="32"/>
          <w:shd w:val="clear" w:color="auto" w:fill="FFFFFF"/>
          <w:lang w:val="en-US" w:eastAsia="zh-CN" w:bidi="ar"/>
        </w:rPr>
        <w:t>2021年我街道认真贯彻《中华人民共和国政府信息公开条例》的各项规定，按照区政府的统一部署和要求，从优化政务公开形式、完善政务公开质量、提升政务公开数量等方面，较好地完成了政府信息公开各项任务。全文包含总体情况、主动公开政府信息情况、收到和处理政府信息公开申请情况、政府信息公开行政复议和行政诉讼情况、存在的主要问题及改进情况、其他需要报告的事项六个内容。现对本年度新碶街道信息公开情况进行报告，本年度报告所列数据的统计期限自2021年1月1日起至2021年12月31日止。</w:t>
      </w:r>
    </w:p>
    <w:p>
      <w:pPr>
        <w:pStyle w:val="2"/>
        <w:numPr>
          <w:ilvl w:val="0"/>
          <w:numId w:val="1"/>
        </w:numPr>
        <w:ind w:left="640" w:leftChars="0" w:firstLine="0" w:firstLineChars="0"/>
        <w:rPr>
          <w:rFonts w:hint="eastAsia" w:ascii="仿宋_GB2312" w:hAnsi="仿宋_GB2312" w:eastAsia="仿宋_GB2312" w:cs="仿宋_GB2312"/>
          <w:b/>
          <w:bCs/>
          <w:i w:val="0"/>
          <w:caps w:val="0"/>
          <w:color w:val="333333"/>
          <w:spacing w:val="0"/>
          <w:kern w:val="0"/>
          <w:sz w:val="32"/>
          <w:szCs w:val="32"/>
          <w:shd w:val="clear" w:color="auto" w:fill="FFFFFF"/>
          <w:lang w:val="en-US" w:eastAsia="zh-CN" w:bidi="ar"/>
        </w:rPr>
      </w:pPr>
      <w:r>
        <w:rPr>
          <w:rFonts w:hint="eastAsia" w:ascii="仿宋_GB2312" w:hAnsi="仿宋_GB2312" w:eastAsia="仿宋_GB2312" w:cs="仿宋_GB2312"/>
          <w:b/>
          <w:bCs/>
          <w:i w:val="0"/>
          <w:caps w:val="0"/>
          <w:color w:val="333333"/>
          <w:spacing w:val="0"/>
          <w:kern w:val="0"/>
          <w:sz w:val="32"/>
          <w:szCs w:val="32"/>
          <w:shd w:val="clear" w:color="auto" w:fill="FFFFFF"/>
          <w:lang w:val="en-US" w:eastAsia="zh-CN" w:bidi="ar"/>
        </w:rPr>
        <w:t>主动公开政府信息情况</w:t>
      </w:r>
    </w:p>
    <w:p>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640" w:firstLineChars="200"/>
        <w:jc w:val="left"/>
        <w:rPr>
          <w:rFonts w:hint="eastAsia" w:ascii="仿宋_GB2312" w:hAnsi="仿宋_GB2312" w:eastAsia="仿宋_GB2312" w:cs="仿宋_GB2312"/>
          <w:i w:val="0"/>
          <w:caps w:val="0"/>
          <w:color w:val="333333"/>
          <w:spacing w:val="0"/>
          <w:kern w:val="0"/>
          <w:sz w:val="32"/>
          <w:szCs w:val="32"/>
          <w:shd w:val="clear" w:color="auto" w:fill="FFFFFF"/>
          <w:lang w:val="en-US" w:eastAsia="zh-CN" w:bidi="ar"/>
        </w:rPr>
      </w:pPr>
      <w:r>
        <w:rPr>
          <w:rFonts w:hint="eastAsia" w:ascii="仿宋_GB2312" w:hAnsi="仿宋_GB2312" w:eastAsia="仿宋_GB2312" w:cs="仿宋_GB2312"/>
          <w:i w:val="0"/>
          <w:caps w:val="0"/>
          <w:color w:val="333333"/>
          <w:spacing w:val="0"/>
          <w:kern w:val="0"/>
          <w:sz w:val="32"/>
          <w:szCs w:val="32"/>
          <w:shd w:val="clear" w:color="auto" w:fill="FFFFFF"/>
          <w:lang w:val="en-US" w:eastAsia="zh-CN" w:bidi="ar"/>
        </w:rPr>
        <w:t>新碶街道本年度共公开政务信息508条，主动公开信息内容包括街道重大民生信息、年度财政预算决算、人事信息、公告公示通知、政务动态等方面，</w:t>
      </w: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发布的信息内容完整、格式规范。</w:t>
      </w:r>
    </w:p>
    <w:p>
      <w:pPr>
        <w:pStyle w:val="2"/>
        <w:numPr>
          <w:ilvl w:val="0"/>
          <w:numId w:val="1"/>
        </w:numPr>
        <w:ind w:left="640" w:leftChars="0" w:firstLine="0" w:firstLineChars="0"/>
        <w:rPr>
          <w:rFonts w:hint="eastAsia" w:ascii="仿宋_GB2312" w:hAnsi="仿宋_GB2312" w:eastAsia="仿宋_GB2312" w:cs="仿宋_GB2312"/>
          <w:b/>
          <w:bCs/>
          <w:i w:val="0"/>
          <w:caps w:val="0"/>
          <w:color w:val="333333"/>
          <w:spacing w:val="0"/>
          <w:kern w:val="0"/>
          <w:sz w:val="32"/>
          <w:szCs w:val="32"/>
          <w:shd w:val="clear" w:color="auto" w:fill="FFFFFF"/>
          <w:lang w:val="en-US" w:eastAsia="zh-CN" w:bidi="ar"/>
        </w:rPr>
      </w:pPr>
      <w:r>
        <w:rPr>
          <w:rFonts w:hint="eastAsia" w:ascii="仿宋_GB2312" w:hAnsi="仿宋_GB2312" w:eastAsia="仿宋_GB2312" w:cs="仿宋_GB2312"/>
          <w:b/>
          <w:bCs/>
          <w:i w:val="0"/>
          <w:caps w:val="0"/>
          <w:color w:val="333333"/>
          <w:spacing w:val="0"/>
          <w:kern w:val="0"/>
          <w:sz w:val="32"/>
          <w:szCs w:val="32"/>
          <w:shd w:val="clear" w:color="auto" w:fill="FFFFFF"/>
          <w:lang w:val="en-US" w:eastAsia="zh-CN" w:bidi="ar"/>
        </w:rPr>
        <w:t>政府信息依申请公开情况</w:t>
      </w:r>
    </w:p>
    <w:p>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exact"/>
        <w:ind w:left="0" w:right="0" w:firstLine="640" w:firstLineChars="200"/>
        <w:jc w:val="left"/>
      </w:pPr>
      <w:r>
        <w:rPr>
          <w:rFonts w:hint="eastAsia" w:ascii="仿宋_GB2312" w:hAnsi="仿宋_GB2312" w:eastAsia="仿宋_GB2312" w:cs="仿宋_GB2312"/>
          <w:i w:val="0"/>
          <w:caps w:val="0"/>
          <w:color w:val="333333"/>
          <w:spacing w:val="0"/>
          <w:kern w:val="0"/>
          <w:sz w:val="32"/>
          <w:szCs w:val="32"/>
          <w:shd w:val="clear" w:color="auto" w:fill="FFFFFF"/>
          <w:lang w:val="en-US" w:eastAsia="zh-CN" w:bidi="ar"/>
        </w:rPr>
        <w:t>全年共收到政府信息公开申请2件。</w:t>
      </w:r>
      <w:r>
        <w:rPr>
          <w:rFonts w:hint="default" w:ascii="仿宋_GB2312" w:hAnsi="仿宋_GB2312" w:eastAsia="仿宋_GB2312" w:cs="仿宋_GB2312"/>
          <w:i w:val="0"/>
          <w:caps w:val="0"/>
          <w:color w:val="333333"/>
          <w:spacing w:val="0"/>
          <w:kern w:val="0"/>
          <w:sz w:val="32"/>
          <w:szCs w:val="32"/>
          <w:shd w:val="clear" w:color="auto" w:fill="FFFFFF"/>
          <w:lang w:val="en-US" w:eastAsia="zh-CN" w:bidi="ar"/>
        </w:rPr>
        <w:t>申请人均为自然人</w:t>
      </w:r>
      <w:r>
        <w:rPr>
          <w:rFonts w:hint="eastAsia" w:ascii="仿宋_GB2312" w:hAnsi="仿宋_GB2312" w:eastAsia="仿宋_GB2312" w:cs="仿宋_GB2312"/>
          <w:i w:val="0"/>
          <w:caps w:val="0"/>
          <w:color w:val="333333"/>
          <w:spacing w:val="0"/>
          <w:kern w:val="0"/>
          <w:sz w:val="32"/>
          <w:szCs w:val="32"/>
          <w:shd w:val="clear" w:color="auto" w:fill="FFFFFF"/>
          <w:lang w:val="en-US" w:eastAsia="zh-CN" w:bidi="ar"/>
        </w:rPr>
        <w:t>，</w:t>
      </w:r>
      <w:r>
        <w:rPr>
          <w:rFonts w:hint="default" w:ascii="仿宋_GB2312" w:hAnsi="仿宋_GB2312" w:eastAsia="仿宋_GB2312" w:cs="仿宋_GB2312"/>
          <w:i w:val="0"/>
          <w:caps w:val="0"/>
          <w:color w:val="333333"/>
          <w:spacing w:val="0"/>
          <w:kern w:val="0"/>
          <w:sz w:val="32"/>
          <w:szCs w:val="32"/>
          <w:shd w:val="clear" w:color="auto" w:fill="FFFFFF"/>
          <w:lang w:val="en-US" w:eastAsia="zh-CN" w:bidi="ar"/>
        </w:rPr>
        <w:t>2件信息公开申请均已按照相关要求按时予以答复。</w:t>
      </w:r>
    </w:p>
    <w:p>
      <w:pPr>
        <w:pStyle w:val="2"/>
        <w:numPr>
          <w:ilvl w:val="0"/>
          <w:numId w:val="1"/>
        </w:numPr>
        <w:ind w:left="640" w:leftChars="0" w:firstLine="0" w:firstLineChars="0"/>
        <w:rPr>
          <w:rFonts w:hint="eastAsia" w:ascii="仿宋_GB2312" w:hAnsi="仿宋_GB2312" w:eastAsia="仿宋_GB2312" w:cs="仿宋_GB2312"/>
          <w:b/>
          <w:bCs/>
          <w:i w:val="0"/>
          <w:caps w:val="0"/>
          <w:color w:val="333333"/>
          <w:spacing w:val="0"/>
          <w:kern w:val="0"/>
          <w:sz w:val="32"/>
          <w:szCs w:val="32"/>
          <w:shd w:val="clear" w:color="auto" w:fill="FFFFFF"/>
          <w:lang w:val="en-US" w:eastAsia="zh-CN" w:bidi="ar"/>
        </w:rPr>
      </w:pPr>
      <w:r>
        <w:rPr>
          <w:rFonts w:hint="eastAsia" w:ascii="仿宋_GB2312" w:hAnsi="仿宋_GB2312" w:eastAsia="仿宋_GB2312" w:cs="仿宋_GB2312"/>
          <w:b/>
          <w:bCs/>
          <w:i w:val="0"/>
          <w:caps w:val="0"/>
          <w:color w:val="333333"/>
          <w:spacing w:val="0"/>
          <w:kern w:val="0"/>
          <w:sz w:val="32"/>
          <w:szCs w:val="32"/>
          <w:shd w:val="clear" w:color="auto" w:fill="FFFFFF"/>
          <w:lang w:val="en-US" w:eastAsia="zh-CN" w:bidi="ar"/>
        </w:rPr>
        <w:t>政府信息管理情况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2147483648" w:beforeAutospacing="0" w:after="0" w:afterLines="-2147483648" w:afterAutospacing="0" w:line="560" w:lineRule="exact"/>
        <w:ind w:right="0" w:firstLine="640" w:firstLineChars="200"/>
        <w:jc w:val="left"/>
        <w:textAlignment w:val="auto"/>
        <w:rPr>
          <w:rFonts w:hint="eastAsia" w:ascii="仿宋_GB2312" w:hAnsi="仿宋_GB2312" w:eastAsia="仿宋_GB2312" w:cs="仿宋_GB2312"/>
          <w:i w:val="0"/>
          <w:caps w:val="0"/>
          <w:color w:val="333333"/>
          <w:spacing w:val="0"/>
          <w:kern w:val="0"/>
          <w:sz w:val="32"/>
          <w:szCs w:val="32"/>
          <w:shd w:val="clear" w:color="auto" w:fill="FFFFFF"/>
          <w:lang w:val="en-US" w:eastAsia="zh-CN" w:bidi="ar"/>
        </w:rPr>
      </w:pPr>
      <w:r>
        <w:rPr>
          <w:rFonts w:hint="eastAsia" w:ascii="仿宋_GB2312" w:hAnsi="仿宋_GB2312" w:eastAsia="仿宋_GB2312" w:cs="仿宋_GB2312"/>
          <w:sz w:val="32"/>
          <w:szCs w:val="32"/>
        </w:rPr>
        <w:t>加强政府信息公开规范化管理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i w:val="0"/>
          <w:caps w:val="0"/>
          <w:color w:val="333333"/>
          <w:spacing w:val="0"/>
          <w:kern w:val="0"/>
          <w:sz w:val="32"/>
          <w:szCs w:val="32"/>
          <w:shd w:val="clear" w:color="auto" w:fill="FFFFFF"/>
          <w:lang w:val="en-US" w:eastAsia="zh-CN" w:bidi="ar"/>
        </w:rPr>
        <w:t>为确保信息公开工作落到实处，建立健全街道政府信息公开工作制度、举报调查制度、监督检查制度、责任追究制度和审议制度，制定信息主动公开操作流程。严格执行公开保密审查制度和程序，做到该公开的全部公开，该保密的坚决保密。坚持考核评估，强化监督，使街道政务信息公开工作进一步规范化、制度化。</w:t>
      </w:r>
    </w:p>
    <w:p>
      <w:pPr>
        <w:pStyle w:val="2"/>
        <w:numPr>
          <w:ilvl w:val="0"/>
          <w:numId w:val="1"/>
        </w:numPr>
        <w:ind w:left="640" w:leftChars="0" w:firstLine="0" w:firstLineChars="0"/>
        <w:rPr>
          <w:rFonts w:hint="eastAsia" w:ascii="仿宋_GB2312" w:hAnsi="仿宋_GB2312" w:eastAsia="仿宋_GB2312" w:cs="仿宋_GB2312"/>
          <w:b/>
          <w:bCs/>
          <w:i w:val="0"/>
          <w:caps w:val="0"/>
          <w:color w:val="333333"/>
          <w:spacing w:val="0"/>
          <w:kern w:val="0"/>
          <w:sz w:val="32"/>
          <w:szCs w:val="32"/>
          <w:shd w:val="clear" w:color="auto" w:fill="FFFFFF"/>
          <w:lang w:val="en-US" w:eastAsia="zh-CN" w:bidi="ar"/>
        </w:rPr>
      </w:pPr>
      <w:r>
        <w:rPr>
          <w:rFonts w:hint="eastAsia" w:ascii="仿宋_GB2312" w:hAnsi="仿宋_GB2312" w:eastAsia="仿宋_GB2312" w:cs="仿宋_GB2312"/>
          <w:b/>
          <w:bCs/>
          <w:i w:val="0"/>
          <w:caps w:val="0"/>
          <w:color w:val="333333"/>
          <w:spacing w:val="0"/>
          <w:kern w:val="0"/>
          <w:sz w:val="32"/>
          <w:szCs w:val="32"/>
          <w:shd w:val="clear" w:color="auto" w:fill="FFFFFF"/>
          <w:lang w:val="en-US" w:eastAsia="zh-CN" w:bidi="ar"/>
        </w:rPr>
        <w:t>政府信息公开平台建设情况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firstLineChars="200"/>
        <w:jc w:val="left"/>
        <w:rPr>
          <w:rFonts w:hint="eastAsia" w:ascii="仿宋_GB2312" w:hAnsi="仿宋_GB2312" w:eastAsia="仿宋_GB2312" w:cs="仿宋_GB2312"/>
          <w:i w:val="0"/>
          <w:caps w:val="0"/>
          <w:color w:val="333333"/>
          <w:spacing w:val="0"/>
          <w:kern w:val="0"/>
          <w:sz w:val="32"/>
          <w:szCs w:val="32"/>
          <w:shd w:val="clear" w:color="auto" w:fill="FFFFFF"/>
          <w:lang w:val="en-US" w:eastAsia="zh-CN" w:bidi="ar"/>
        </w:rPr>
      </w:pPr>
      <w:r>
        <w:rPr>
          <w:rFonts w:hint="eastAsia" w:ascii="仿宋_GB2312" w:hAnsi="仿宋_GB2312" w:eastAsia="仿宋_GB2312" w:cs="仿宋_GB2312"/>
          <w:i w:val="0"/>
          <w:caps w:val="0"/>
          <w:color w:val="333333"/>
          <w:spacing w:val="0"/>
          <w:kern w:val="0"/>
          <w:sz w:val="32"/>
          <w:szCs w:val="32"/>
          <w:shd w:val="clear" w:color="auto" w:fill="FFFFFF"/>
          <w:lang w:val="en-US" w:eastAsia="zh-CN" w:bidi="ar"/>
        </w:rPr>
        <w:t>为进一步贯彻落实《中华人民共和国政府信息公开条例》，新碶街道严格按照区政府的统一部署，配合省集约化平台建设，优化了政务公开网站的展现页面与架构，内容更加明确清晰、路径更为通畅直接。</w:t>
      </w:r>
      <w:r>
        <w:rPr>
          <w:rFonts w:hint="default" w:ascii="仿宋_GB2312" w:hAnsi="仿宋_GB2312" w:eastAsia="仿宋_GB2312" w:cs="仿宋_GB2312"/>
          <w:i w:val="0"/>
          <w:caps w:val="0"/>
          <w:color w:val="333333"/>
          <w:spacing w:val="0"/>
          <w:kern w:val="0"/>
          <w:sz w:val="32"/>
          <w:szCs w:val="32"/>
          <w:shd w:val="clear" w:color="auto" w:fill="FFFFFF"/>
          <w:lang w:val="en-US" w:eastAsia="zh-CN" w:bidi="ar"/>
        </w:rPr>
        <w:t>充分发挥政府网站主渠道作用，</w:t>
      </w:r>
      <w:r>
        <w:rPr>
          <w:rFonts w:hint="eastAsia" w:ascii="仿宋_GB2312" w:hAnsi="仿宋_GB2312" w:eastAsia="仿宋_GB2312" w:cs="仿宋_GB2312"/>
          <w:i w:val="0"/>
          <w:caps w:val="0"/>
          <w:color w:val="333333"/>
          <w:spacing w:val="0"/>
          <w:kern w:val="0"/>
          <w:sz w:val="32"/>
          <w:szCs w:val="32"/>
          <w:shd w:val="clear" w:color="auto" w:fill="FFFFFF"/>
          <w:lang w:val="en-US" w:eastAsia="zh-CN" w:bidi="ar"/>
        </w:rPr>
        <w:t>通过“印象新碶”微信公众号发布</w:t>
      </w:r>
      <w:r>
        <w:rPr>
          <w:rFonts w:hint="eastAsia" w:ascii="仿宋_GB2312" w:hAnsi="仿宋_GB2312" w:eastAsia="仿宋_GB2312" w:cs="仿宋_GB2312"/>
          <w:i w:val="0"/>
          <w:caps w:val="0"/>
          <w:color w:val="000000" w:themeColor="text1"/>
          <w:spacing w:val="0"/>
          <w:kern w:val="0"/>
          <w:sz w:val="32"/>
          <w:szCs w:val="32"/>
          <w:shd w:val="clear" w:color="auto" w:fill="FFFFFF"/>
          <w:lang w:val="en-US" w:eastAsia="zh-CN" w:bidi="ar"/>
          <w14:textFill>
            <w14:solidFill>
              <w14:schemeClr w14:val="tx1"/>
            </w14:solidFill>
          </w14:textFill>
        </w:rPr>
        <w:t>信息636条、微博发布信息908条，</w:t>
      </w:r>
      <w:r>
        <w:rPr>
          <w:rFonts w:hint="eastAsia" w:ascii="仿宋_GB2312" w:hAnsi="仿宋_GB2312" w:eastAsia="仿宋_GB2312" w:cs="仿宋_GB2312"/>
          <w:i w:val="0"/>
          <w:caps w:val="0"/>
          <w:color w:val="333333"/>
          <w:spacing w:val="0"/>
          <w:kern w:val="0"/>
          <w:sz w:val="32"/>
          <w:szCs w:val="32"/>
          <w:shd w:val="clear" w:color="auto" w:fill="FFFFFF"/>
          <w:lang w:val="en-US" w:eastAsia="zh-CN" w:bidi="ar"/>
        </w:rPr>
        <w:t>同时向社会公布并更新完善街道信息公开指南、机构概况、办公地址及电话等信息，确保政府信息公开工作持续良好开展。</w:t>
      </w:r>
    </w:p>
    <w:p>
      <w:pPr>
        <w:pStyle w:val="2"/>
        <w:numPr>
          <w:ilvl w:val="0"/>
          <w:numId w:val="0"/>
        </w:numPr>
        <w:ind w:left="640" w:leftChars="0"/>
        <w:rPr>
          <w:rFonts w:hint="default" w:ascii="仿宋_GB2312" w:hAnsi="仿宋_GB2312" w:eastAsia="仿宋_GB2312" w:cs="仿宋_GB2312"/>
          <w:i w:val="0"/>
          <w:caps w:val="0"/>
          <w:color w:val="333333"/>
          <w:spacing w:val="0"/>
          <w:kern w:val="0"/>
          <w:sz w:val="32"/>
          <w:szCs w:val="32"/>
          <w:shd w:val="clear" w:color="auto" w:fill="FFFFFF"/>
          <w:lang w:val="en-US" w:eastAsia="zh-CN" w:bidi="ar"/>
        </w:rPr>
      </w:pPr>
      <w:r>
        <w:rPr>
          <w:rFonts w:hint="eastAsia" w:ascii="仿宋_GB2312" w:hAnsi="仿宋_GB2312" w:eastAsia="仿宋_GB2312" w:cs="仿宋_GB2312"/>
          <w:b/>
          <w:bCs/>
          <w:i w:val="0"/>
          <w:caps w:val="0"/>
          <w:color w:val="333333"/>
          <w:spacing w:val="0"/>
          <w:kern w:val="0"/>
          <w:sz w:val="32"/>
          <w:szCs w:val="32"/>
          <w:shd w:val="clear" w:color="auto" w:fill="FFFFFF"/>
          <w:lang w:val="en-US" w:eastAsia="zh-CN" w:bidi="ar"/>
        </w:rPr>
        <w:t>（五）政府信息公开工作的监督保障情况</w:t>
      </w:r>
    </w:p>
    <w:p>
      <w:pPr>
        <w:pStyle w:val="2"/>
        <w:numPr>
          <w:ilvl w:val="0"/>
          <w:numId w:val="0"/>
        </w:numPr>
        <w:ind w:firstLine="640" w:firstLineChars="200"/>
        <w:rPr>
          <w:rFonts w:hint="eastAsia" w:ascii="仿宋_GB2312" w:hAnsi="仿宋_GB2312" w:eastAsia="仿宋_GB2312" w:cs="仿宋_GB2312"/>
          <w:i w:val="0"/>
          <w:caps w:val="0"/>
          <w:color w:val="333333"/>
          <w:spacing w:val="0"/>
          <w:kern w:val="0"/>
          <w:sz w:val="32"/>
          <w:szCs w:val="32"/>
          <w:highlight w:val="none"/>
          <w:shd w:val="clear" w:color="auto" w:fill="FFFFFF"/>
          <w:lang w:val="en-US" w:eastAsia="zh-CN" w:bidi="ar"/>
        </w:rPr>
      </w:pPr>
      <w:r>
        <w:rPr>
          <w:rFonts w:hint="eastAsia" w:ascii="仿宋_GB2312" w:hAnsi="仿宋_GB2312" w:eastAsia="仿宋_GB2312" w:cs="仿宋_GB2312"/>
          <w:i w:val="0"/>
          <w:caps w:val="0"/>
          <w:color w:val="333333"/>
          <w:spacing w:val="0"/>
          <w:kern w:val="0"/>
          <w:sz w:val="32"/>
          <w:szCs w:val="32"/>
          <w:highlight w:val="none"/>
          <w:shd w:val="clear" w:color="auto" w:fill="FFFFFF"/>
          <w:lang w:val="en-US" w:eastAsia="zh-CN" w:bidi="ar"/>
        </w:rPr>
        <w:t>加强政府信息公开工作培训，对政务公开工作相关文件、政策法规等进行业务培训，同时加强日常信息发布的自查整改，针对发现的问题及时纠正，进一步做好政府信息公开工作。2021年度本街道没有发生因政务公开工作被追究责任的情况。</w:t>
      </w:r>
      <w:bookmarkStart w:id="0" w:name="_GoBack"/>
      <w:bookmarkEnd w:id="0"/>
    </w:p>
    <w:p>
      <w:pPr>
        <w:pStyle w:val="2"/>
        <w:numPr>
          <w:ilvl w:val="0"/>
          <w:numId w:val="0"/>
        </w:numPr>
        <w:rPr>
          <w:rFonts w:hint="eastAsia" w:ascii="黑体" w:hAnsi="黑体" w:eastAsia="黑体" w:cs="黑体"/>
          <w:b w:val="0"/>
          <w:bCs/>
          <w:sz w:val="32"/>
          <w:szCs w:val="32"/>
        </w:rPr>
      </w:pPr>
      <w:r>
        <w:rPr>
          <w:rFonts w:hint="eastAsia" w:ascii="仿宋_GB2312" w:hAnsi="仿宋_GB2312" w:eastAsia="仿宋_GB2312" w:cs="仿宋_GB2312"/>
          <w:i w:val="0"/>
          <w:caps w:val="0"/>
          <w:color w:val="333333"/>
          <w:spacing w:val="0"/>
          <w:kern w:val="0"/>
          <w:sz w:val="32"/>
          <w:szCs w:val="32"/>
          <w:shd w:val="clear" w:color="auto" w:fill="FFFFFF"/>
          <w:lang w:val="en-US" w:eastAsia="zh-CN" w:bidi="ar"/>
        </w:rPr>
        <w:t xml:space="preserve">   </w:t>
      </w:r>
      <w:r>
        <w:rPr>
          <w:rFonts w:hint="eastAsia" w:ascii="仿宋_GB2312" w:hAnsi="仿宋_GB2312" w:eastAsia="仿宋_GB2312" w:cs="仿宋_GB2312"/>
          <w:i w:val="0"/>
          <w:iCs w:val="0"/>
          <w:caps w:val="0"/>
          <w:color w:val="333333"/>
          <w:spacing w:val="0"/>
          <w:kern w:val="0"/>
          <w:sz w:val="32"/>
          <w:szCs w:val="32"/>
          <w:shd w:val="clear" w:color="auto" w:fill="FFFFFF"/>
          <w:lang w:val="en-US" w:eastAsia="zh-CN" w:bidi="ar"/>
        </w:rPr>
        <w:t xml:space="preserve"> </w:t>
      </w:r>
      <w:r>
        <w:rPr>
          <w:rFonts w:hint="eastAsia" w:ascii="黑体" w:hAnsi="黑体" w:eastAsia="黑体" w:cs="黑体"/>
          <w:b w:val="0"/>
          <w:bCs/>
          <w:i w:val="0"/>
          <w:iCs w:val="0"/>
          <w:color w:val="333333"/>
          <w:sz w:val="32"/>
          <w:szCs w:val="32"/>
        </w:rPr>
        <w:t>二、主动公开政府信息情况</w:t>
      </w:r>
    </w:p>
    <w:tbl>
      <w:tblPr>
        <w:tblStyle w:val="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189"/>
        <w:gridCol w:w="2188"/>
        <w:gridCol w:w="2189"/>
        <w:gridCol w:w="21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8754" w:type="dxa"/>
            <w:gridSpan w:val="4"/>
            <w:tcBorders>
              <w:top w:val="single" w:color="auto" w:sz="8" w:space="0"/>
              <w:left w:val="single" w:color="auto" w:sz="8" w:space="0"/>
              <w:bottom w:val="single" w:color="auto" w:sz="8" w:space="0"/>
              <w:right w:val="single" w:color="auto" w:sz="8" w:space="0"/>
            </w:tcBorders>
            <w:shd w:val="clear" w:color="auto" w:fill="C6D9F1"/>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第二十条第（一）项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189"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信息内容</w:t>
            </w:r>
          </w:p>
        </w:tc>
        <w:tc>
          <w:tcPr>
            <w:tcW w:w="2188"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本年</w:t>
            </w:r>
            <w:r>
              <w:rPr>
                <w:rFonts w:hint="eastAsia" w:ascii="宋体" w:hAnsi="宋体" w:eastAsia="宋体" w:cs="宋体"/>
                <w:color w:val="333333"/>
                <w:kern w:val="0"/>
                <w:sz w:val="20"/>
                <w:szCs w:val="20"/>
                <w:lang w:val="en-US" w:eastAsia="zh-CN" w:bidi="ar"/>
              </w:rPr>
              <w:t>制发件数</w:t>
            </w:r>
          </w:p>
        </w:tc>
        <w:tc>
          <w:tcPr>
            <w:tcW w:w="2189" w:type="dxa"/>
            <w:tcBorders>
              <w:top w:val="single" w:color="auto" w:sz="8" w:space="0"/>
              <w:left w:val="nil"/>
              <w:bottom w:val="single" w:color="auto" w:sz="8" w:space="0"/>
              <w:right w:val="single" w:color="auto" w:sz="4"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本年废止件数</w:t>
            </w:r>
          </w:p>
        </w:tc>
        <w:tc>
          <w:tcPr>
            <w:tcW w:w="2188"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现行有效件</w:t>
            </w:r>
            <w:r>
              <w:rPr>
                <w:rFonts w:hint="eastAsia" w:ascii="宋体" w:hAnsi="宋体" w:eastAsia="宋体" w:cs="宋体"/>
                <w:color w:val="333333"/>
                <w:kern w:val="0"/>
                <w:sz w:val="20"/>
                <w:szCs w:val="20"/>
                <w:lang w:val="en-US" w:eastAsia="zh-CN" w:bidi="ar"/>
              </w:rPr>
              <w:t>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189"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规章</w:t>
            </w:r>
          </w:p>
        </w:tc>
        <w:tc>
          <w:tcPr>
            <w:tcW w:w="2188"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rPr>
                <w:rFonts w:hint="default"/>
                <w:lang w:val="en-US"/>
              </w:rPr>
            </w:pPr>
            <w:r>
              <w:rPr>
                <w:rFonts w:hint="eastAsia" w:ascii="宋体" w:hAnsi="宋体" w:cs="宋体"/>
                <w:color w:val="000000"/>
                <w:kern w:val="0"/>
                <w:sz w:val="20"/>
                <w:szCs w:val="20"/>
                <w:lang w:val="en-US" w:eastAsia="zh-CN" w:bidi="ar"/>
              </w:rPr>
              <w:t>0</w:t>
            </w:r>
          </w:p>
        </w:tc>
        <w:tc>
          <w:tcPr>
            <w:tcW w:w="2189" w:type="dxa"/>
            <w:tcBorders>
              <w:top w:val="nil"/>
              <w:left w:val="nil"/>
              <w:bottom w:val="single" w:color="auto" w:sz="8" w:space="0"/>
              <w:right w:val="single" w:color="auto" w:sz="4"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cs="宋体"/>
                <w:color w:val="000000"/>
                <w:kern w:val="0"/>
                <w:sz w:val="20"/>
                <w:szCs w:val="20"/>
                <w:lang w:val="en-US" w:eastAsia="zh-CN" w:bidi="ar"/>
              </w:rPr>
              <w:t>0</w:t>
            </w:r>
          </w:p>
        </w:tc>
        <w:tc>
          <w:tcPr>
            <w:tcW w:w="2188"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rPr>
                <w:rFonts w:hint="default"/>
                <w:lang w:val="en-US"/>
              </w:rPr>
            </w:pPr>
            <w:r>
              <w:rPr>
                <w:rFonts w:hint="eastAsia" w:ascii="Calibri" w:hAnsi="Calibri" w:cs="Calibri"/>
                <w:color w:val="333333"/>
                <w:kern w:val="2"/>
                <w:sz w:val="21"/>
                <w:szCs w:val="21"/>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189"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行政规范性文件</w:t>
            </w:r>
          </w:p>
        </w:tc>
        <w:tc>
          <w:tcPr>
            <w:tcW w:w="2188"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cs="宋体"/>
                <w:color w:val="000000"/>
                <w:kern w:val="0"/>
                <w:sz w:val="20"/>
                <w:szCs w:val="20"/>
                <w:lang w:val="en-US" w:eastAsia="zh-CN" w:bidi="ar"/>
              </w:rPr>
              <w:t>0</w:t>
            </w:r>
          </w:p>
        </w:tc>
        <w:tc>
          <w:tcPr>
            <w:tcW w:w="2189" w:type="dxa"/>
            <w:tcBorders>
              <w:top w:val="nil"/>
              <w:left w:val="nil"/>
              <w:bottom w:val="single" w:color="auto" w:sz="8" w:space="0"/>
              <w:right w:val="single" w:color="auto" w:sz="4"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cs="宋体"/>
                <w:color w:val="000000"/>
                <w:kern w:val="0"/>
                <w:sz w:val="20"/>
                <w:szCs w:val="20"/>
                <w:lang w:val="en-US" w:eastAsia="zh-CN" w:bidi="ar"/>
              </w:rPr>
              <w:t>0</w:t>
            </w:r>
          </w:p>
        </w:tc>
        <w:tc>
          <w:tcPr>
            <w:tcW w:w="2188"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Calibri" w:hAnsi="Calibri" w:cs="Calibri"/>
                <w:color w:val="333333"/>
                <w:kern w:val="2"/>
                <w:sz w:val="21"/>
                <w:szCs w:val="21"/>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8754" w:type="dxa"/>
            <w:gridSpan w:val="4"/>
            <w:tcBorders>
              <w:top w:val="nil"/>
              <w:left w:val="single" w:color="auto" w:sz="8" w:space="0"/>
              <w:bottom w:val="single" w:color="auto" w:sz="8" w:space="0"/>
              <w:right w:val="single" w:color="auto" w:sz="8" w:space="0"/>
            </w:tcBorders>
            <w:shd w:val="clear" w:color="auto" w:fill="C6D9F1"/>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第二十条第（五）项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189" w:type="dxa"/>
            <w:tcBorders>
              <w:top w:val="nil"/>
              <w:left w:val="single" w:color="auto" w:sz="8" w:space="0"/>
              <w:bottom w:val="single" w:color="auto" w:sz="8" w:space="0"/>
              <w:right w:val="single" w:color="auto" w:sz="4"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信息内容</w:t>
            </w:r>
          </w:p>
        </w:tc>
        <w:tc>
          <w:tcPr>
            <w:tcW w:w="6565" w:type="dxa"/>
            <w:gridSpan w:val="3"/>
            <w:tcBorders>
              <w:top w:val="nil"/>
              <w:left w:val="nil"/>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189" w:type="dxa"/>
            <w:tcBorders>
              <w:top w:val="single" w:color="auto" w:sz="8" w:space="0"/>
              <w:left w:val="single" w:color="auto" w:sz="8" w:space="0"/>
              <w:bottom w:val="single" w:color="auto" w:sz="8" w:space="0"/>
              <w:right w:val="single" w:color="auto" w:sz="4"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行政许可</w:t>
            </w:r>
          </w:p>
        </w:tc>
        <w:tc>
          <w:tcPr>
            <w:tcW w:w="6565" w:type="dxa"/>
            <w:gridSpan w:val="3"/>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Calibri" w:hAnsi="Calibri" w:cs="Calibri"/>
                <w:color w:val="333333"/>
                <w:kern w:val="2"/>
                <w:sz w:val="21"/>
                <w:szCs w:val="21"/>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8754" w:type="dxa"/>
            <w:gridSpan w:val="4"/>
            <w:tcBorders>
              <w:top w:val="nil"/>
              <w:left w:val="single" w:color="auto" w:sz="8" w:space="0"/>
              <w:bottom w:val="single" w:color="auto" w:sz="8" w:space="0"/>
              <w:right w:val="single" w:color="auto" w:sz="8" w:space="0"/>
            </w:tcBorders>
            <w:shd w:val="clear" w:color="auto" w:fill="C6D9F1"/>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第二十条第（六）项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189"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000000"/>
                <w:kern w:val="0"/>
                <w:sz w:val="20"/>
                <w:szCs w:val="20"/>
                <w:lang w:val="en-US" w:eastAsia="zh-CN" w:bidi="ar"/>
              </w:rPr>
              <w:t>信息内容</w:t>
            </w:r>
          </w:p>
        </w:tc>
        <w:tc>
          <w:tcPr>
            <w:tcW w:w="6565" w:type="dxa"/>
            <w:gridSpan w:val="3"/>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000000"/>
                <w:kern w:val="0"/>
                <w:sz w:val="20"/>
                <w:szCs w:val="20"/>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189"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行政处罚</w:t>
            </w:r>
          </w:p>
        </w:tc>
        <w:tc>
          <w:tcPr>
            <w:tcW w:w="6565" w:type="dxa"/>
            <w:gridSpan w:val="3"/>
            <w:tcBorders>
              <w:top w:val="nil"/>
              <w:left w:val="nil"/>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cs="宋体"/>
                <w:color w:val="000000"/>
                <w:kern w:val="0"/>
                <w:sz w:val="20"/>
                <w:szCs w:val="20"/>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189"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行政强制</w:t>
            </w:r>
          </w:p>
        </w:tc>
        <w:tc>
          <w:tcPr>
            <w:tcW w:w="6565" w:type="dxa"/>
            <w:gridSpan w:val="3"/>
            <w:tcBorders>
              <w:top w:val="nil"/>
              <w:left w:val="nil"/>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cs="宋体"/>
                <w:color w:val="000000"/>
                <w:kern w:val="0"/>
                <w:sz w:val="20"/>
                <w:szCs w:val="20"/>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8754" w:type="dxa"/>
            <w:gridSpan w:val="4"/>
            <w:tcBorders>
              <w:top w:val="nil"/>
              <w:left w:val="single" w:color="auto" w:sz="8" w:space="0"/>
              <w:bottom w:val="single" w:color="auto" w:sz="8" w:space="0"/>
              <w:right w:val="single" w:color="auto" w:sz="8" w:space="0"/>
            </w:tcBorders>
            <w:shd w:val="clear" w:color="auto" w:fill="C6D9F1"/>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第二十条第（八）项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189"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信息内容</w:t>
            </w:r>
          </w:p>
        </w:tc>
        <w:tc>
          <w:tcPr>
            <w:tcW w:w="6565" w:type="dxa"/>
            <w:gridSpan w:val="3"/>
            <w:tcBorders>
              <w:top w:val="nil"/>
              <w:left w:val="nil"/>
              <w:bottom w:val="single" w:color="auto" w:sz="8" w:space="0"/>
              <w:right w:val="single" w:color="000000"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本年收费金额（单位：万元）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189"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right="0"/>
              <w:jc w:val="center"/>
            </w:pPr>
            <w:r>
              <w:rPr>
                <w:rFonts w:hint="eastAsia" w:ascii="宋体" w:hAnsi="宋体" w:eastAsia="宋体" w:cs="宋体"/>
                <w:color w:val="000000"/>
                <w:kern w:val="0"/>
                <w:sz w:val="20"/>
                <w:szCs w:val="20"/>
                <w:lang w:val="en-US" w:eastAsia="zh-CN" w:bidi="ar"/>
              </w:rPr>
              <w:t>行政事业性收费</w:t>
            </w:r>
          </w:p>
        </w:tc>
        <w:tc>
          <w:tcPr>
            <w:tcW w:w="6565" w:type="dxa"/>
            <w:gridSpan w:val="3"/>
            <w:tcBorders>
              <w:top w:val="nil"/>
              <w:left w:val="nil"/>
              <w:bottom w:val="single" w:color="auto" w:sz="8" w:space="0"/>
              <w:right w:val="single" w:color="000000" w:sz="8" w:space="0"/>
            </w:tcBorders>
            <w:noWrap w:val="0"/>
            <w:tcMar>
              <w:left w:w="57" w:type="dxa"/>
              <w:right w:w="57" w:type="dxa"/>
            </w:tcMar>
            <w:vAlign w:val="center"/>
          </w:tcPr>
          <w:p>
            <w:pPr>
              <w:jc w:val="center"/>
              <w:rPr>
                <w:rFonts w:hint="eastAsia" w:ascii="宋体" w:hAnsi="宋体" w:eastAsia="宋体" w:cs="宋体"/>
                <w:color w:val="333333"/>
                <w:sz w:val="21"/>
                <w:szCs w:val="21"/>
                <w:lang w:val="en-US" w:eastAsia="zh-CN"/>
              </w:rPr>
            </w:pPr>
            <w:r>
              <w:rPr>
                <w:rFonts w:hint="eastAsia" w:ascii="宋体" w:hAnsi="宋体" w:cs="宋体"/>
                <w:color w:val="333333"/>
                <w:sz w:val="21"/>
                <w:szCs w:val="21"/>
                <w:lang w:val="en-US" w:eastAsia="zh-CN"/>
              </w:rPr>
              <w:t>0</w:t>
            </w:r>
          </w:p>
        </w:tc>
      </w:tr>
    </w:tbl>
    <w:p>
      <w:pPr>
        <w:pStyle w:val="6"/>
        <w:keepNext w:val="0"/>
        <w:keepLines w:val="0"/>
        <w:widowControl/>
        <w:suppressLineNumbers w:val="0"/>
        <w:spacing w:before="0" w:beforeAutospacing="0" w:after="0" w:afterAutospacing="0" w:line="432" w:lineRule="auto"/>
        <w:ind w:firstLine="640" w:firstLineChars="200"/>
        <w:jc w:val="both"/>
        <w:rPr>
          <w:rFonts w:hint="eastAsia" w:ascii="宋体" w:hAnsi="宋体" w:eastAsia="宋体" w:cs="宋体"/>
        </w:rPr>
      </w:pPr>
      <w:r>
        <w:rPr>
          <w:rFonts w:hint="eastAsia" w:ascii="黑体" w:hAnsi="黑体" w:eastAsia="黑体" w:cs="黑体"/>
          <w:b w:val="0"/>
          <w:bCs/>
          <w:color w:val="333333"/>
          <w:sz w:val="32"/>
          <w:szCs w:val="32"/>
        </w:rPr>
        <w:t>三、收到和处理政府信息公开申请情况</w:t>
      </w:r>
    </w:p>
    <w:tbl>
      <w:tblPr>
        <w:tblStyle w:val="7"/>
        <w:tblW w:w="0" w:type="auto"/>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57" w:type="dxa"/>
          <w:bottom w:w="0" w:type="dxa"/>
          <w:right w:w="57" w:type="dxa"/>
        </w:tblCellMar>
      </w:tblPr>
      <w:tblGrid>
        <w:gridCol w:w="682"/>
        <w:gridCol w:w="833"/>
        <w:gridCol w:w="2956"/>
        <w:gridCol w:w="619"/>
        <w:gridCol w:w="619"/>
        <w:gridCol w:w="619"/>
        <w:gridCol w:w="620"/>
        <w:gridCol w:w="619"/>
        <w:gridCol w:w="619"/>
        <w:gridCol w:w="619"/>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4471" w:type="dxa"/>
            <w:gridSpan w:val="3"/>
            <w:vMerge w:val="restart"/>
            <w:tcBorders>
              <w:top w:val="single" w:color="auto" w:sz="8" w:space="0"/>
              <w:left w:val="single" w:color="auto" w:sz="8" w:space="0"/>
              <w:bottom w:val="outset" w:color="auto" w:sz="6"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楷体" w:hAnsi="楷体" w:eastAsia="楷体" w:cs="楷体"/>
                <w:color w:val="333333"/>
                <w:kern w:val="0"/>
                <w:sz w:val="20"/>
                <w:szCs w:val="20"/>
                <w:lang w:val="en-US" w:eastAsia="zh-CN" w:bidi="ar"/>
              </w:rPr>
              <w:t>（本列数据的勾稽关系为：第一项加第二项之和，等于第三项加第四项之和）</w:t>
            </w:r>
          </w:p>
        </w:tc>
        <w:tc>
          <w:tcPr>
            <w:tcW w:w="4334" w:type="dxa"/>
            <w:gridSpan w:val="7"/>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宋体" w:hAnsi="宋体" w:eastAsia="宋体" w:cs="宋体"/>
                <w:color w:val="333333"/>
                <w:kern w:val="0"/>
                <w:sz w:val="20"/>
                <w:szCs w:val="20"/>
                <w:lang w:val="en-US" w:eastAsia="zh-CN" w:bidi="ar"/>
              </w:rPr>
              <w:t>申请人情况</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4471" w:type="dxa"/>
            <w:gridSpan w:val="3"/>
            <w:vMerge w:val="continue"/>
            <w:tcBorders>
              <w:top w:val="single" w:color="auto" w:sz="8" w:space="0"/>
              <w:left w:val="single" w:color="auto" w:sz="8" w:space="0"/>
              <w:bottom w:val="outset" w:color="auto" w:sz="6" w:space="0"/>
              <w:right w:val="single" w:color="auto" w:sz="8" w:space="0"/>
            </w:tcBorders>
            <w:noWrap w:val="0"/>
            <w:tcMar>
              <w:left w:w="108" w:type="dxa"/>
              <w:right w:w="108"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619" w:type="dxa"/>
            <w:vMerge w:val="restart"/>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宋体" w:hAnsi="宋体" w:eastAsia="宋体" w:cs="宋体"/>
                <w:color w:val="333333"/>
                <w:kern w:val="0"/>
                <w:sz w:val="20"/>
                <w:szCs w:val="20"/>
                <w:lang w:val="en-US" w:eastAsia="zh-CN" w:bidi="ar"/>
              </w:rPr>
              <w:t>自然人</w:t>
            </w:r>
          </w:p>
        </w:tc>
        <w:tc>
          <w:tcPr>
            <w:tcW w:w="3096" w:type="dxa"/>
            <w:gridSpan w:val="5"/>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宋体" w:hAnsi="宋体" w:eastAsia="宋体" w:cs="宋体"/>
                <w:color w:val="333333"/>
                <w:kern w:val="0"/>
                <w:sz w:val="20"/>
                <w:szCs w:val="20"/>
                <w:lang w:val="en-US" w:eastAsia="zh-CN" w:bidi="ar"/>
              </w:rPr>
              <w:t>法人或其他组织</w:t>
            </w:r>
          </w:p>
        </w:tc>
        <w:tc>
          <w:tcPr>
            <w:tcW w:w="619" w:type="dxa"/>
            <w:vMerge w:val="restart"/>
            <w:tcBorders>
              <w:top w:val="single" w:color="auto" w:sz="8" w:space="0"/>
              <w:left w:val="nil"/>
              <w:bottom w:val="outset" w:color="auto" w:sz="6"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宋体" w:hAnsi="宋体" w:eastAsia="宋体" w:cs="宋体"/>
                <w:color w:val="333333"/>
                <w:kern w:val="0"/>
                <w:sz w:val="20"/>
                <w:szCs w:val="20"/>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4471" w:type="dxa"/>
            <w:gridSpan w:val="3"/>
            <w:vMerge w:val="continue"/>
            <w:tcBorders>
              <w:top w:val="single" w:color="auto" w:sz="8" w:space="0"/>
              <w:left w:val="single" w:color="auto" w:sz="8" w:space="0"/>
              <w:bottom w:val="outset" w:color="auto" w:sz="6" w:space="0"/>
              <w:right w:val="single" w:color="auto" w:sz="8" w:space="0"/>
            </w:tcBorders>
            <w:noWrap w:val="0"/>
            <w:tcMar>
              <w:left w:w="108" w:type="dxa"/>
              <w:right w:w="108" w:type="dxa"/>
            </w:tcMar>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619" w:type="dxa"/>
            <w:vMerge w:val="continue"/>
            <w:tcBorders>
              <w:top w:val="nil"/>
              <w:left w:val="nil"/>
              <w:bottom w:val="single" w:color="auto" w:sz="8"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宋体" w:hAnsi="宋体" w:eastAsia="宋体" w:cs="宋体"/>
                <w:color w:val="333333"/>
                <w:kern w:val="0"/>
                <w:sz w:val="20"/>
                <w:szCs w:val="20"/>
                <w:lang w:val="en-US" w:eastAsia="zh-CN" w:bidi="ar"/>
              </w:rPr>
              <w:t>商业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宋体" w:hAnsi="宋体" w:eastAsia="宋体" w:cs="宋体"/>
                <w:color w:val="333333"/>
                <w:kern w:val="0"/>
                <w:sz w:val="20"/>
                <w:szCs w:val="20"/>
                <w:lang w:val="en-US" w:eastAsia="zh-CN" w:bidi="ar"/>
              </w:rPr>
              <w:t>企业</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宋体" w:hAnsi="宋体" w:eastAsia="宋体" w:cs="宋体"/>
                <w:color w:val="333333"/>
                <w:kern w:val="0"/>
                <w:sz w:val="20"/>
                <w:szCs w:val="20"/>
                <w:lang w:val="en-US" w:eastAsia="zh-CN" w:bidi="ar"/>
              </w:rPr>
              <w:t>科研</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宋体" w:hAnsi="宋体" w:eastAsia="宋体" w:cs="宋体"/>
                <w:color w:val="333333"/>
                <w:kern w:val="0"/>
                <w:sz w:val="20"/>
                <w:szCs w:val="20"/>
                <w:lang w:val="en-US" w:eastAsia="zh-CN" w:bidi="ar"/>
              </w:rPr>
              <w:t>机构</w:t>
            </w:r>
          </w:p>
        </w:tc>
        <w:tc>
          <w:tcPr>
            <w:tcW w:w="620" w:type="dxa"/>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宋体" w:hAnsi="宋体" w:eastAsia="宋体" w:cs="宋体"/>
                <w:color w:val="333333"/>
                <w:kern w:val="0"/>
                <w:sz w:val="20"/>
                <w:szCs w:val="20"/>
                <w:lang w:val="en-US" w:eastAsia="zh-CN" w:bidi="ar"/>
              </w:rPr>
              <w:t>社会公益组织</w:t>
            </w:r>
          </w:p>
        </w:tc>
        <w:tc>
          <w:tcPr>
            <w:tcW w:w="619" w:type="dxa"/>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宋体" w:hAnsi="宋体" w:eastAsia="宋体" w:cs="宋体"/>
                <w:color w:val="333333"/>
                <w:kern w:val="0"/>
                <w:sz w:val="20"/>
                <w:szCs w:val="20"/>
                <w:lang w:val="en-US" w:eastAsia="zh-CN" w:bidi="ar"/>
              </w:rPr>
              <w:t>法律服务机构</w:t>
            </w:r>
          </w:p>
        </w:tc>
        <w:tc>
          <w:tcPr>
            <w:tcW w:w="619" w:type="dxa"/>
            <w:tcBorders>
              <w:top w:val="single" w:color="auto" w:sz="8" w:space="0"/>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宋体" w:hAnsi="宋体" w:eastAsia="宋体" w:cs="宋体"/>
                <w:color w:val="333333"/>
                <w:kern w:val="0"/>
                <w:sz w:val="20"/>
                <w:szCs w:val="20"/>
                <w:lang w:val="en-US" w:eastAsia="zh-CN" w:bidi="ar"/>
              </w:rPr>
              <w:t>其他</w:t>
            </w:r>
          </w:p>
        </w:tc>
        <w:tc>
          <w:tcPr>
            <w:tcW w:w="619" w:type="dxa"/>
            <w:vMerge w:val="continue"/>
            <w:tcBorders>
              <w:top w:val="single" w:color="auto" w:sz="8" w:space="0"/>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4471" w:type="dxa"/>
            <w:gridSpan w:val="3"/>
            <w:tcBorders>
              <w:top w:val="nil"/>
              <w:left w:val="single" w:color="auto" w:sz="8" w:space="0"/>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一、本年新收政府信息公开申请数量</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rPr>
                <w:rFonts w:hint="default"/>
                <w:lang w:val="en-US"/>
              </w:rPr>
            </w:pPr>
            <w:r>
              <w:rPr>
                <w:rFonts w:hint="default" w:ascii="Calibri" w:hAnsi="Calibri" w:eastAsia="宋体" w:cs="Calibri"/>
                <w:color w:val="333333"/>
                <w:kern w:val="0"/>
                <w:sz w:val="20"/>
                <w:szCs w:val="20"/>
                <w:lang w:val="en-US" w:eastAsia="zh-CN" w:bidi="ar"/>
              </w:rPr>
              <w:t> </w:t>
            </w:r>
            <w:r>
              <w:rPr>
                <w:rFonts w:hint="eastAsia" w:ascii="Calibri" w:hAnsi="Calibri" w:cs="Calibri"/>
                <w:color w:val="333333"/>
                <w:kern w:val="0"/>
                <w:sz w:val="20"/>
                <w:szCs w:val="20"/>
                <w:lang w:val="en-US" w:eastAsia="zh-CN" w:bidi="ar"/>
              </w:rPr>
              <w:t>2</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rPr>
                <w:rFonts w:hint="default"/>
                <w:lang w:val="en-US"/>
              </w:rPr>
            </w:pPr>
            <w:r>
              <w:rPr>
                <w:rFonts w:hint="default" w:ascii="Calibri" w:hAnsi="Calibri" w:eastAsia="宋体" w:cs="Calibri"/>
                <w:color w:val="333333"/>
                <w:kern w:val="0"/>
                <w:sz w:val="20"/>
                <w:szCs w:val="20"/>
                <w:lang w:val="en-US" w:eastAsia="zh-CN" w:bidi="ar"/>
              </w:rPr>
              <w:t> </w:t>
            </w: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r>
              <w:rPr>
                <w:rFonts w:hint="default" w:ascii="Calibri" w:hAnsi="Calibri" w:eastAsia="宋体" w:cs="Calibri"/>
                <w:color w:val="333333"/>
                <w:kern w:val="0"/>
                <w:sz w:val="20"/>
                <w:szCs w:val="20"/>
                <w:lang w:val="en-US" w:eastAsia="zh-CN" w:bidi="ar"/>
              </w:rPr>
              <w:t> </w:t>
            </w:r>
          </w:p>
        </w:tc>
        <w:tc>
          <w:tcPr>
            <w:tcW w:w="620"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r>
              <w:rPr>
                <w:rFonts w:hint="default" w:ascii="Calibri" w:hAnsi="Calibri" w:eastAsia="宋体" w:cs="Calibri"/>
                <w:color w:val="333333"/>
                <w:kern w:val="0"/>
                <w:sz w:val="20"/>
                <w:szCs w:val="20"/>
                <w:lang w:val="en-US" w:eastAsia="zh-CN" w:bidi="ar"/>
              </w:rPr>
              <w:t> </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r>
              <w:rPr>
                <w:rFonts w:hint="default" w:ascii="Calibri" w:hAnsi="Calibri" w:eastAsia="宋体" w:cs="Calibri"/>
                <w:color w:val="333333"/>
                <w:kern w:val="0"/>
                <w:sz w:val="20"/>
                <w:szCs w:val="20"/>
                <w:lang w:val="en-US" w:eastAsia="zh-CN" w:bidi="ar"/>
              </w:rPr>
              <w:t> </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r>
              <w:rPr>
                <w:rFonts w:hint="default" w:ascii="Calibri" w:hAnsi="Calibri" w:eastAsia="宋体" w:cs="Calibri"/>
                <w:color w:val="333333"/>
                <w:kern w:val="0"/>
                <w:sz w:val="20"/>
                <w:szCs w:val="20"/>
                <w:lang w:val="en-US" w:eastAsia="zh-CN" w:bidi="ar"/>
              </w:rPr>
              <w:t> </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rPr>
                <w:rFonts w:hint="default"/>
                <w:lang w:val="en-US"/>
              </w:rPr>
            </w:pPr>
            <w:r>
              <w:rPr>
                <w:rFonts w:hint="default" w:ascii="Calibri" w:hAnsi="Calibri" w:eastAsia="宋体" w:cs="Calibri"/>
                <w:color w:val="333333"/>
                <w:kern w:val="0"/>
                <w:sz w:val="20"/>
                <w:szCs w:val="20"/>
                <w:lang w:val="en-US" w:eastAsia="zh-CN" w:bidi="ar"/>
              </w:rPr>
              <w:t> </w:t>
            </w:r>
            <w:r>
              <w:rPr>
                <w:rFonts w:hint="eastAsia" w:ascii="Calibri" w:hAnsi="Calibri" w:cs="Calibri"/>
                <w:color w:val="333333"/>
                <w:kern w:val="0"/>
                <w:sz w:val="20"/>
                <w:szCs w:val="20"/>
                <w:lang w:val="en-US" w:eastAsia="zh-CN" w:bidi="ar"/>
              </w:rPr>
              <w:t>2</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4471" w:type="dxa"/>
            <w:gridSpan w:val="3"/>
            <w:tcBorders>
              <w:top w:val="nil"/>
              <w:left w:val="single" w:color="auto" w:sz="8" w:space="0"/>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二、上年结转政府信息公开申请数量</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rPr>
                <w:rFonts w:hint="default"/>
                <w:lang w:val="en-US"/>
              </w:rPr>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restart"/>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三、本年度办理结果</w:t>
            </w:r>
          </w:p>
        </w:tc>
        <w:tc>
          <w:tcPr>
            <w:tcW w:w="3789" w:type="dxa"/>
            <w:gridSpan w:val="2"/>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（一）予以公开</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3789" w:type="dxa"/>
            <w:gridSpan w:val="2"/>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（二）部分公开</w:t>
            </w:r>
            <w:r>
              <w:rPr>
                <w:rFonts w:hint="eastAsia" w:ascii="楷体" w:hAnsi="楷体" w:eastAsia="楷体" w:cs="楷体"/>
                <w:color w:val="333333"/>
                <w:kern w:val="0"/>
                <w:sz w:val="20"/>
                <w:szCs w:val="20"/>
                <w:lang w:val="en-US" w:eastAsia="zh-CN" w:bidi="ar"/>
              </w:rPr>
              <w:t>（区分处理的，只计这一情形，不计其他情形）</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rPr>
                <w:rFonts w:hint="default"/>
                <w:lang w:val="en-US"/>
              </w:rPr>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restart"/>
            <w:tcBorders>
              <w:top w:val="nil"/>
              <w:left w:val="nil"/>
              <w:bottom w:val="outset" w:color="auto" w:sz="6"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（三）不予公开</w:t>
            </w:r>
          </w:p>
        </w:tc>
        <w:tc>
          <w:tcPr>
            <w:tcW w:w="2956"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1.属于国家秘密</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continue"/>
            <w:tcBorders>
              <w:top w:val="nil"/>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2956"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2.其他法律行政法规禁止公开</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continue"/>
            <w:tcBorders>
              <w:top w:val="nil"/>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2956"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3.危及“三安全一稳定”</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continue"/>
            <w:tcBorders>
              <w:top w:val="nil"/>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2956"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4.保护第三方合法权益</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continue"/>
            <w:tcBorders>
              <w:top w:val="nil"/>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2956"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5.属于三类内部事务信息</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continue"/>
            <w:tcBorders>
              <w:top w:val="nil"/>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2956"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6.属于四类过程性信息</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continue"/>
            <w:tcBorders>
              <w:top w:val="nil"/>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2956"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7.属于行政执法案卷</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continue"/>
            <w:tcBorders>
              <w:top w:val="nil"/>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2956"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8.属于行政查询事项</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restart"/>
            <w:tcBorders>
              <w:top w:val="nil"/>
              <w:left w:val="nil"/>
              <w:bottom w:val="outset" w:color="auto" w:sz="6"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（四）无法提供</w:t>
            </w:r>
          </w:p>
        </w:tc>
        <w:tc>
          <w:tcPr>
            <w:tcW w:w="2956"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1.本机关不掌握相关政府信息</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1</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1</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continue"/>
            <w:tcBorders>
              <w:top w:val="nil"/>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2956"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2.没有现成信息需要另行制作</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continue"/>
            <w:tcBorders>
              <w:top w:val="nil"/>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2956"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3.补正后申请内容仍不明确</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restart"/>
            <w:tcBorders>
              <w:top w:val="nil"/>
              <w:left w:val="nil"/>
              <w:bottom w:val="outset" w:color="auto" w:sz="6"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（五）不予处理</w:t>
            </w:r>
          </w:p>
        </w:tc>
        <w:tc>
          <w:tcPr>
            <w:tcW w:w="2956"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1.信访举报投诉类申请</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continue"/>
            <w:tcBorders>
              <w:top w:val="nil"/>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2956"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2.重复申请</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1</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1</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continue"/>
            <w:tcBorders>
              <w:top w:val="nil"/>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2956"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3.要求提供公开出版物</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continue"/>
            <w:tcBorders>
              <w:top w:val="nil"/>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2956"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4.无正当理由大量反复申请</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single" w:color="auto" w:sz="8" w:space="0"/>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trHeight w:val="779" w:hRule="atLeast"/>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continue"/>
            <w:tcBorders>
              <w:top w:val="nil"/>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2956" w:type="dxa"/>
            <w:tcBorders>
              <w:top w:val="nil"/>
              <w:left w:val="nil"/>
              <w:bottom w:val="outset" w:color="auto" w:sz="6"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both"/>
              <w:textAlignment w:val="auto"/>
            </w:pPr>
            <w:r>
              <w:rPr>
                <w:rFonts w:hint="eastAsia" w:ascii="宋体" w:hAnsi="宋体" w:eastAsia="宋体" w:cs="宋体"/>
                <w:color w:val="333333"/>
                <w:kern w:val="0"/>
                <w:sz w:val="20"/>
                <w:szCs w:val="20"/>
                <w:lang w:val="en-US" w:eastAsia="zh-CN" w:bidi="ar"/>
              </w:rPr>
              <w:t>5.要求行政机关确认或重新出具已获取信息</w:t>
            </w:r>
          </w:p>
        </w:tc>
        <w:tc>
          <w:tcPr>
            <w:tcW w:w="619" w:type="dxa"/>
            <w:tcBorders>
              <w:top w:val="nil"/>
              <w:left w:val="nil"/>
              <w:bottom w:val="outset" w:color="auto" w:sz="6"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outset" w:color="auto" w:sz="6"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outset" w:color="auto" w:sz="6"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outset" w:color="auto" w:sz="6"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outset" w:color="auto" w:sz="6"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outset" w:color="auto" w:sz="6"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outset" w:color="auto" w:sz="6"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restart"/>
            <w:tcBorders>
              <w:top w:val="outset" w:color="auto" w:sz="6" w:space="0"/>
              <w:left w:val="nil"/>
              <w:bottom w:val="outset" w:color="auto" w:sz="6"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（六）其他处理</w:t>
            </w:r>
          </w:p>
        </w:tc>
        <w:tc>
          <w:tcPr>
            <w:tcW w:w="2956"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both"/>
              <w:textAlignment w:val="auto"/>
            </w:pPr>
            <w:r>
              <w:rPr>
                <w:rFonts w:hint="eastAsia" w:ascii="宋体" w:hAnsi="宋体" w:eastAsia="宋体" w:cs="宋体"/>
                <w:color w:val="333333"/>
                <w:kern w:val="0"/>
                <w:sz w:val="20"/>
                <w:szCs w:val="20"/>
                <w:lang w:val="en-US" w:eastAsia="zh-CN" w:bidi="ar"/>
              </w:rPr>
              <w:t>1.申请人无正当理由逾期不补正、行政机关不再处理其政府信息公开申请</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continue"/>
            <w:tcBorders>
              <w:top w:val="outset" w:color="auto" w:sz="6" w:space="0"/>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2956"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both"/>
              <w:textAlignment w:val="auto"/>
            </w:pPr>
            <w:r>
              <w:rPr>
                <w:rFonts w:hint="eastAsia" w:ascii="宋体" w:hAnsi="宋体" w:eastAsia="宋体" w:cs="宋体"/>
                <w:color w:val="333333"/>
                <w:kern w:val="0"/>
                <w:sz w:val="20"/>
                <w:szCs w:val="20"/>
                <w:lang w:val="en-US" w:eastAsia="zh-CN" w:bidi="ar"/>
              </w:rPr>
              <w:t>2.申请人逾期未按收费通知要求缴纳费用、行政机关不再处理其政府信息公开申请</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833" w:type="dxa"/>
            <w:vMerge w:val="continue"/>
            <w:tcBorders>
              <w:top w:val="outset" w:color="auto" w:sz="6" w:space="0"/>
              <w:left w:val="nil"/>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2956"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3.其他</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682" w:type="dxa"/>
            <w:vMerge w:val="continue"/>
            <w:tcBorders>
              <w:top w:val="nil"/>
              <w:left w:val="single" w:color="auto" w:sz="8" w:space="0"/>
              <w:bottom w:val="outset" w:color="auto" w:sz="6" w:space="0"/>
              <w:right w:val="single" w:color="auto" w:sz="8"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333333"/>
                <w:sz w:val="21"/>
                <w:szCs w:val="21"/>
              </w:rPr>
            </w:pPr>
          </w:p>
        </w:tc>
        <w:tc>
          <w:tcPr>
            <w:tcW w:w="3789" w:type="dxa"/>
            <w:gridSpan w:val="2"/>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（七）总计</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2</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rPr>
                <w:rFonts w:hint="default"/>
                <w:lang w:val="en-US"/>
              </w:rPr>
            </w:pPr>
            <w:r>
              <w:rPr>
                <w:rFonts w:hint="eastAsia" w:ascii="Calibri" w:hAnsi="Calibri" w:cs="Calibri"/>
                <w:color w:val="333333"/>
                <w:kern w:val="0"/>
                <w:sz w:val="20"/>
                <w:szCs w:val="20"/>
                <w:lang w:val="en-US" w:eastAsia="zh-CN" w:bidi="ar"/>
              </w:rPr>
              <w:t>2</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57" w:type="dxa"/>
            <w:bottom w:w="0" w:type="dxa"/>
            <w:right w:w="57" w:type="dxa"/>
          </w:tblCellMar>
        </w:tblPrEx>
        <w:trPr>
          <w:jc w:val="center"/>
        </w:trPr>
        <w:tc>
          <w:tcPr>
            <w:tcW w:w="4471" w:type="dxa"/>
            <w:gridSpan w:val="3"/>
            <w:tcBorders>
              <w:top w:val="nil"/>
              <w:left w:val="single" w:color="auto" w:sz="8" w:space="0"/>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left"/>
              <w:textAlignment w:val="auto"/>
            </w:pPr>
            <w:r>
              <w:rPr>
                <w:rFonts w:hint="eastAsia" w:ascii="宋体" w:hAnsi="宋体" w:eastAsia="宋体" w:cs="宋体"/>
                <w:color w:val="333333"/>
                <w:kern w:val="0"/>
                <w:sz w:val="20"/>
                <w:szCs w:val="20"/>
                <w:lang w:val="en-US" w:eastAsia="zh-CN" w:bidi="ar"/>
              </w:rPr>
              <w:t>四、结转下年度继续办理</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rPr>
                <w:rFonts w:hint="eastAsia" w:eastAsia="宋体"/>
                <w:lang w:val="en-US" w:eastAsia="zh-CN"/>
              </w:rPr>
            </w:pPr>
            <w:r>
              <w:rPr>
                <w:rFonts w:hint="eastAsia"/>
                <w:lang w:val="en-US" w:eastAsia="zh-CN"/>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20"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00" w:lineRule="exact"/>
              <w:ind w:left="0" w:right="0"/>
              <w:jc w:val="center"/>
              <w:textAlignment w:val="auto"/>
            </w:pPr>
            <w:r>
              <w:rPr>
                <w:rFonts w:hint="eastAsia" w:ascii="Calibri" w:hAnsi="Calibri" w:cs="Calibri"/>
                <w:color w:val="333333"/>
                <w:kern w:val="0"/>
                <w:sz w:val="20"/>
                <w:szCs w:val="20"/>
                <w:lang w:val="en-US" w:eastAsia="zh-CN" w:bidi="ar"/>
              </w:rPr>
              <w:t>0</w:t>
            </w:r>
          </w:p>
        </w:tc>
        <w:tc>
          <w:tcPr>
            <w:tcW w:w="619" w:type="dxa"/>
            <w:tcBorders>
              <w:top w:val="nil"/>
              <w:left w:val="nil"/>
              <w:bottom w:val="single" w:color="auto" w:sz="8" w:space="0"/>
              <w:right w:val="single" w:color="auto" w:sz="8" w:space="0"/>
            </w:tcBorders>
            <w:noWrap w:val="0"/>
            <w:vAlign w:val="top"/>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333333"/>
                <w:sz w:val="21"/>
                <w:szCs w:val="21"/>
              </w:rPr>
            </w:pPr>
            <w:r>
              <w:rPr>
                <w:rFonts w:hint="eastAsia" w:ascii="Calibri" w:hAnsi="Calibri" w:cs="Calibri"/>
                <w:color w:val="333333"/>
                <w:kern w:val="0"/>
                <w:sz w:val="20"/>
                <w:szCs w:val="20"/>
                <w:lang w:val="en-US" w:eastAsia="zh-CN" w:bidi="ar"/>
              </w:rPr>
              <w:t>0</w:t>
            </w:r>
          </w:p>
        </w:tc>
      </w:tr>
    </w:tbl>
    <w:p>
      <w:pPr>
        <w:pStyle w:val="6"/>
        <w:keepNext w:val="0"/>
        <w:keepLines w:val="0"/>
        <w:widowControl/>
        <w:suppressLineNumbers w:val="0"/>
        <w:spacing w:before="0" w:beforeAutospacing="0" w:after="0" w:afterAutospacing="0" w:line="432" w:lineRule="auto"/>
        <w:ind w:firstLine="640" w:firstLineChars="200"/>
        <w:jc w:val="both"/>
        <w:rPr>
          <w:rFonts w:hint="eastAsia" w:ascii="黑体" w:hAnsi="黑体" w:eastAsia="黑体" w:cs="黑体"/>
          <w:b w:val="0"/>
          <w:bCs/>
          <w:sz w:val="32"/>
          <w:szCs w:val="32"/>
        </w:rPr>
      </w:pPr>
      <w:r>
        <w:rPr>
          <w:rFonts w:hint="eastAsia" w:ascii="黑体" w:hAnsi="黑体" w:eastAsia="黑体" w:cs="黑体"/>
          <w:b w:val="0"/>
          <w:bCs/>
          <w:color w:val="333333"/>
          <w:sz w:val="32"/>
          <w:szCs w:val="32"/>
        </w:rPr>
        <w:t>四、政府信息公开行政复议、行政诉讼情况</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0"/>
        <w:gridCol w:w="590"/>
        <w:gridCol w:w="590"/>
        <w:gridCol w:w="590"/>
        <w:gridCol w:w="590"/>
        <w:gridCol w:w="590"/>
        <w:gridCol w:w="590"/>
        <w:gridCol w:w="591"/>
        <w:gridCol w:w="590"/>
        <w:gridCol w:w="591"/>
        <w:gridCol w:w="591"/>
        <w:gridCol w:w="591"/>
        <w:gridCol w:w="591"/>
        <w:gridCol w:w="591"/>
        <w:gridCol w:w="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50"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行政复议</w:t>
            </w:r>
          </w:p>
        </w:tc>
        <w:tc>
          <w:tcPr>
            <w:tcW w:w="5906" w:type="dxa"/>
            <w:gridSpan w:val="10"/>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行政诉讼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0" w:type="dxa"/>
            <w:vMerge w:val="restart"/>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结果维持</w:t>
            </w:r>
          </w:p>
        </w:tc>
        <w:tc>
          <w:tcPr>
            <w:tcW w:w="590" w:type="dxa"/>
            <w:vMerge w:val="restart"/>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结果</w:t>
            </w:r>
            <w:r>
              <w:rPr>
                <w:rFonts w:hint="eastAsia" w:ascii="宋体" w:hAnsi="宋体" w:eastAsia="宋体" w:cs="宋体"/>
                <w:color w:val="333333"/>
                <w:kern w:val="0"/>
                <w:sz w:val="20"/>
                <w:szCs w:val="20"/>
                <w:lang w:val="en-US" w:eastAsia="zh-CN" w:bidi="ar"/>
              </w:rPr>
              <w:br w:type="textWrapping"/>
            </w:r>
            <w:r>
              <w:rPr>
                <w:rFonts w:hint="eastAsia" w:ascii="宋体" w:hAnsi="宋体" w:eastAsia="宋体" w:cs="宋体"/>
                <w:color w:val="333333"/>
                <w:kern w:val="0"/>
                <w:sz w:val="20"/>
                <w:szCs w:val="20"/>
                <w:lang w:val="en-US" w:eastAsia="zh-CN" w:bidi="ar"/>
              </w:rPr>
              <w:t>纠正</w:t>
            </w:r>
          </w:p>
        </w:tc>
        <w:tc>
          <w:tcPr>
            <w:tcW w:w="590"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其他</w:t>
            </w:r>
            <w:r>
              <w:rPr>
                <w:rFonts w:hint="eastAsia" w:ascii="宋体" w:hAnsi="宋体" w:eastAsia="宋体" w:cs="宋体"/>
                <w:color w:val="333333"/>
                <w:kern w:val="0"/>
                <w:sz w:val="20"/>
                <w:szCs w:val="20"/>
                <w:lang w:val="en-US" w:eastAsia="zh-CN" w:bidi="ar"/>
              </w:rPr>
              <w:br w:type="textWrapping"/>
            </w:r>
            <w:r>
              <w:rPr>
                <w:rFonts w:hint="eastAsia" w:ascii="宋体" w:hAnsi="宋体" w:eastAsia="宋体" w:cs="宋体"/>
                <w:color w:val="333333"/>
                <w:kern w:val="0"/>
                <w:sz w:val="20"/>
                <w:szCs w:val="20"/>
                <w:lang w:val="en-US" w:eastAsia="zh-CN" w:bidi="ar"/>
              </w:rPr>
              <w:t>结果</w:t>
            </w:r>
          </w:p>
        </w:tc>
        <w:tc>
          <w:tcPr>
            <w:tcW w:w="590"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尚未</w:t>
            </w:r>
            <w:r>
              <w:rPr>
                <w:rFonts w:hint="eastAsia" w:ascii="宋体" w:hAnsi="宋体" w:eastAsia="宋体" w:cs="宋体"/>
                <w:color w:val="333333"/>
                <w:kern w:val="0"/>
                <w:sz w:val="20"/>
                <w:szCs w:val="20"/>
                <w:lang w:val="en-US" w:eastAsia="zh-CN" w:bidi="ar"/>
              </w:rPr>
              <w:br w:type="textWrapping"/>
            </w:r>
            <w:r>
              <w:rPr>
                <w:rFonts w:hint="eastAsia" w:ascii="宋体" w:hAnsi="宋体" w:eastAsia="宋体" w:cs="宋体"/>
                <w:color w:val="333333"/>
                <w:kern w:val="0"/>
                <w:sz w:val="20"/>
                <w:szCs w:val="20"/>
                <w:lang w:val="en-US" w:eastAsia="zh-CN" w:bidi="ar"/>
              </w:rPr>
              <w:t>审结</w:t>
            </w:r>
          </w:p>
        </w:tc>
        <w:tc>
          <w:tcPr>
            <w:tcW w:w="590"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总计</w:t>
            </w:r>
          </w:p>
        </w:tc>
        <w:tc>
          <w:tcPr>
            <w:tcW w:w="2952"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未经复议直接起诉</w:t>
            </w:r>
          </w:p>
        </w:tc>
        <w:tc>
          <w:tcPr>
            <w:tcW w:w="2954"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复议后起诉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0"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宋体" w:hAnsi="宋体" w:eastAsia="宋体" w:cs="宋体"/>
                <w:color w:val="333333"/>
                <w:sz w:val="21"/>
                <w:szCs w:val="21"/>
              </w:rPr>
            </w:pPr>
          </w:p>
        </w:tc>
        <w:tc>
          <w:tcPr>
            <w:tcW w:w="590" w:type="dxa"/>
            <w:vMerge w:val="continue"/>
            <w:tcBorders>
              <w:top w:val="nil"/>
              <w:left w:val="single" w:color="auto" w:sz="4" w:space="0"/>
              <w:bottom w:val="single" w:color="auto" w:sz="4" w:space="0"/>
              <w:right w:val="single" w:color="auto" w:sz="4" w:space="0"/>
            </w:tcBorders>
            <w:noWrap w:val="0"/>
            <w:vAlign w:val="center"/>
          </w:tcPr>
          <w:p>
            <w:pPr>
              <w:jc w:val="left"/>
              <w:rPr>
                <w:rFonts w:hint="eastAsia" w:ascii="宋体" w:hAnsi="宋体" w:eastAsia="宋体" w:cs="宋体"/>
                <w:color w:val="333333"/>
                <w:sz w:val="21"/>
                <w:szCs w:val="21"/>
              </w:rPr>
            </w:pPr>
          </w:p>
        </w:tc>
        <w:tc>
          <w:tcPr>
            <w:tcW w:w="590" w:type="dxa"/>
            <w:vMerge w:val="continue"/>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宋体" w:hAnsi="宋体" w:eastAsia="宋体" w:cs="宋体"/>
                <w:color w:val="333333"/>
                <w:sz w:val="21"/>
                <w:szCs w:val="21"/>
              </w:rPr>
            </w:pPr>
          </w:p>
        </w:tc>
        <w:tc>
          <w:tcPr>
            <w:tcW w:w="590" w:type="dxa"/>
            <w:vMerge w:val="continue"/>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宋体" w:hAnsi="宋体" w:eastAsia="宋体" w:cs="宋体"/>
                <w:color w:val="333333"/>
                <w:sz w:val="21"/>
                <w:szCs w:val="21"/>
              </w:rPr>
            </w:pPr>
          </w:p>
        </w:tc>
        <w:tc>
          <w:tcPr>
            <w:tcW w:w="590" w:type="dxa"/>
            <w:vMerge w:val="continue"/>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宋体" w:hAnsi="宋体" w:eastAsia="宋体" w:cs="宋体"/>
                <w:color w:val="333333"/>
                <w:sz w:val="21"/>
                <w:szCs w:val="21"/>
              </w:rPr>
            </w:pPr>
          </w:p>
        </w:tc>
        <w:tc>
          <w:tcPr>
            <w:tcW w:w="5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结果</w:t>
            </w:r>
            <w:r>
              <w:rPr>
                <w:rFonts w:hint="eastAsia" w:ascii="宋体" w:hAnsi="宋体" w:eastAsia="宋体" w:cs="宋体"/>
                <w:color w:val="333333"/>
                <w:kern w:val="0"/>
                <w:sz w:val="20"/>
                <w:szCs w:val="20"/>
                <w:lang w:val="en-US" w:eastAsia="zh-CN" w:bidi="ar"/>
              </w:rPr>
              <w:br w:type="textWrapping"/>
            </w:r>
            <w:r>
              <w:rPr>
                <w:rFonts w:hint="eastAsia" w:ascii="宋体" w:hAnsi="宋体" w:eastAsia="宋体" w:cs="宋体"/>
                <w:color w:val="333333"/>
                <w:kern w:val="0"/>
                <w:sz w:val="20"/>
                <w:szCs w:val="20"/>
                <w:lang w:val="en-US" w:eastAsia="zh-CN" w:bidi="ar"/>
              </w:rPr>
              <w:t>维持</w:t>
            </w:r>
          </w:p>
        </w:tc>
        <w:tc>
          <w:tcPr>
            <w:tcW w:w="5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结果</w:t>
            </w:r>
            <w:r>
              <w:rPr>
                <w:rFonts w:hint="eastAsia" w:ascii="宋体" w:hAnsi="宋体" w:eastAsia="宋体" w:cs="宋体"/>
                <w:color w:val="333333"/>
                <w:kern w:val="0"/>
                <w:sz w:val="20"/>
                <w:szCs w:val="20"/>
                <w:lang w:val="en-US" w:eastAsia="zh-CN" w:bidi="ar"/>
              </w:rPr>
              <w:br w:type="textWrapping"/>
            </w:r>
            <w:r>
              <w:rPr>
                <w:rFonts w:hint="eastAsia" w:ascii="宋体" w:hAnsi="宋体" w:eastAsia="宋体" w:cs="宋体"/>
                <w:color w:val="333333"/>
                <w:kern w:val="0"/>
                <w:sz w:val="20"/>
                <w:szCs w:val="20"/>
                <w:lang w:val="en-US" w:eastAsia="zh-CN" w:bidi="ar"/>
              </w:rPr>
              <w:t>纠正</w:t>
            </w:r>
          </w:p>
        </w:tc>
        <w:tc>
          <w:tcPr>
            <w:tcW w:w="59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其他</w:t>
            </w:r>
            <w:r>
              <w:rPr>
                <w:rFonts w:hint="eastAsia" w:ascii="宋体" w:hAnsi="宋体" w:eastAsia="宋体" w:cs="宋体"/>
                <w:color w:val="333333"/>
                <w:kern w:val="0"/>
                <w:sz w:val="20"/>
                <w:szCs w:val="20"/>
                <w:lang w:val="en-US" w:eastAsia="zh-CN" w:bidi="ar"/>
              </w:rPr>
              <w:br w:type="textWrapping"/>
            </w:r>
            <w:r>
              <w:rPr>
                <w:rFonts w:hint="eastAsia" w:ascii="宋体" w:hAnsi="宋体" w:eastAsia="宋体" w:cs="宋体"/>
                <w:color w:val="333333"/>
                <w:kern w:val="0"/>
                <w:sz w:val="20"/>
                <w:szCs w:val="20"/>
                <w:lang w:val="en-US" w:eastAsia="zh-CN" w:bidi="ar"/>
              </w:rPr>
              <w:t>结果</w:t>
            </w:r>
          </w:p>
        </w:tc>
        <w:tc>
          <w:tcPr>
            <w:tcW w:w="5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尚未</w:t>
            </w:r>
            <w:r>
              <w:rPr>
                <w:rFonts w:hint="eastAsia" w:ascii="宋体" w:hAnsi="宋体" w:eastAsia="宋体" w:cs="宋体"/>
                <w:color w:val="333333"/>
                <w:kern w:val="0"/>
                <w:sz w:val="20"/>
                <w:szCs w:val="20"/>
                <w:lang w:val="en-US" w:eastAsia="zh-CN" w:bidi="ar"/>
              </w:rPr>
              <w:br w:type="textWrapping"/>
            </w:r>
            <w:r>
              <w:rPr>
                <w:rFonts w:hint="eastAsia" w:ascii="宋体" w:hAnsi="宋体" w:eastAsia="宋体" w:cs="宋体"/>
                <w:color w:val="333333"/>
                <w:kern w:val="0"/>
                <w:sz w:val="20"/>
                <w:szCs w:val="20"/>
                <w:lang w:val="en-US" w:eastAsia="zh-CN" w:bidi="ar"/>
              </w:rPr>
              <w:t>审结</w:t>
            </w:r>
          </w:p>
        </w:tc>
        <w:tc>
          <w:tcPr>
            <w:tcW w:w="59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000000"/>
                <w:kern w:val="0"/>
                <w:sz w:val="20"/>
                <w:szCs w:val="20"/>
                <w:lang w:val="en-US" w:eastAsia="zh-CN" w:bidi="ar"/>
              </w:rPr>
              <w:t>总计</w:t>
            </w:r>
          </w:p>
        </w:tc>
        <w:tc>
          <w:tcPr>
            <w:tcW w:w="59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结果</w:t>
            </w:r>
            <w:r>
              <w:rPr>
                <w:rFonts w:hint="eastAsia" w:ascii="宋体" w:hAnsi="宋体" w:eastAsia="宋体" w:cs="宋体"/>
                <w:color w:val="333333"/>
                <w:kern w:val="0"/>
                <w:sz w:val="20"/>
                <w:szCs w:val="20"/>
                <w:lang w:val="en-US" w:eastAsia="zh-CN" w:bidi="ar"/>
              </w:rPr>
              <w:br w:type="textWrapping"/>
            </w:r>
            <w:r>
              <w:rPr>
                <w:rFonts w:hint="eastAsia" w:ascii="宋体" w:hAnsi="宋体" w:eastAsia="宋体" w:cs="宋体"/>
                <w:color w:val="333333"/>
                <w:kern w:val="0"/>
                <w:sz w:val="20"/>
                <w:szCs w:val="20"/>
                <w:lang w:val="en-US" w:eastAsia="zh-CN" w:bidi="ar"/>
              </w:rPr>
              <w:t>维持</w:t>
            </w:r>
          </w:p>
        </w:tc>
        <w:tc>
          <w:tcPr>
            <w:tcW w:w="59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结果</w:t>
            </w:r>
            <w:r>
              <w:rPr>
                <w:rFonts w:hint="eastAsia" w:ascii="宋体" w:hAnsi="宋体" w:eastAsia="宋体" w:cs="宋体"/>
                <w:color w:val="333333"/>
                <w:kern w:val="0"/>
                <w:sz w:val="20"/>
                <w:szCs w:val="20"/>
                <w:lang w:val="en-US" w:eastAsia="zh-CN" w:bidi="ar"/>
              </w:rPr>
              <w:br w:type="textWrapping"/>
            </w:r>
            <w:r>
              <w:rPr>
                <w:rFonts w:hint="eastAsia" w:ascii="宋体" w:hAnsi="宋体" w:eastAsia="宋体" w:cs="宋体"/>
                <w:color w:val="333333"/>
                <w:kern w:val="0"/>
                <w:sz w:val="20"/>
                <w:szCs w:val="20"/>
                <w:lang w:val="en-US" w:eastAsia="zh-CN" w:bidi="ar"/>
              </w:rPr>
              <w:t>纠正</w:t>
            </w:r>
          </w:p>
        </w:tc>
        <w:tc>
          <w:tcPr>
            <w:tcW w:w="59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000000"/>
                <w:kern w:val="0"/>
                <w:sz w:val="20"/>
                <w:szCs w:val="20"/>
                <w:lang w:val="en-US" w:eastAsia="zh-CN" w:bidi="ar"/>
              </w:rPr>
              <w:t>其他</w:t>
            </w:r>
            <w:r>
              <w:rPr>
                <w:rFonts w:hint="eastAsia" w:ascii="宋体" w:hAnsi="宋体" w:eastAsia="宋体" w:cs="宋体"/>
                <w:color w:val="000000"/>
                <w:kern w:val="0"/>
                <w:sz w:val="20"/>
                <w:szCs w:val="20"/>
                <w:lang w:val="en-US" w:eastAsia="zh-CN" w:bidi="ar"/>
              </w:rPr>
              <w:br w:type="textWrapping"/>
            </w:r>
            <w:r>
              <w:rPr>
                <w:rFonts w:hint="eastAsia" w:ascii="宋体" w:hAnsi="宋体" w:eastAsia="宋体" w:cs="宋体"/>
                <w:color w:val="000000"/>
                <w:kern w:val="0"/>
                <w:sz w:val="20"/>
                <w:szCs w:val="20"/>
                <w:lang w:val="en-US" w:eastAsia="zh-CN" w:bidi="ar"/>
              </w:rPr>
              <w:t>结果</w:t>
            </w:r>
          </w:p>
        </w:tc>
        <w:tc>
          <w:tcPr>
            <w:tcW w:w="59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333333"/>
                <w:kern w:val="0"/>
                <w:sz w:val="20"/>
                <w:szCs w:val="20"/>
                <w:lang w:val="en-US" w:eastAsia="zh-CN" w:bidi="ar"/>
              </w:rPr>
              <w:t>尚未</w:t>
            </w:r>
            <w:r>
              <w:rPr>
                <w:rFonts w:hint="eastAsia" w:ascii="宋体" w:hAnsi="宋体" w:eastAsia="宋体" w:cs="宋体"/>
                <w:color w:val="333333"/>
                <w:kern w:val="0"/>
                <w:sz w:val="20"/>
                <w:szCs w:val="20"/>
                <w:lang w:val="en-US" w:eastAsia="zh-CN" w:bidi="ar"/>
              </w:rPr>
              <w:br w:type="textWrapping"/>
            </w:r>
            <w:r>
              <w:rPr>
                <w:rFonts w:hint="eastAsia" w:ascii="宋体" w:hAnsi="宋体" w:eastAsia="宋体" w:cs="宋体"/>
                <w:color w:val="333333"/>
                <w:kern w:val="0"/>
                <w:sz w:val="20"/>
                <w:szCs w:val="20"/>
                <w:lang w:val="en-US" w:eastAsia="zh-CN" w:bidi="ar"/>
              </w:rPr>
              <w:t>审结</w:t>
            </w:r>
          </w:p>
        </w:tc>
        <w:tc>
          <w:tcPr>
            <w:tcW w:w="5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宋体" w:hAnsi="宋体" w:eastAsia="宋体" w:cs="宋体"/>
                <w:color w:val="000000"/>
                <w:kern w:val="0"/>
                <w:sz w:val="20"/>
                <w:szCs w:val="20"/>
                <w:lang w:val="en-US" w:eastAsia="zh-CN" w:bidi="ar"/>
              </w:rPr>
              <w:t>总计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5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right="0" w:rightChars="0"/>
              <w:jc w:val="center"/>
            </w:pPr>
            <w:r>
              <w:rPr>
                <w:rFonts w:hint="eastAsia" w:ascii="黑体" w:hAnsi="宋体" w:eastAsia="黑体" w:cs="黑体"/>
                <w:color w:val="333333"/>
                <w:kern w:val="2"/>
                <w:sz w:val="20"/>
                <w:szCs w:val="20"/>
                <w:lang w:val="en-US" w:eastAsia="zh-CN" w:bidi="ar"/>
              </w:rPr>
              <w:t>1</w:t>
            </w:r>
          </w:p>
        </w:tc>
        <w:tc>
          <w:tcPr>
            <w:tcW w:w="5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黑体" w:hAnsi="宋体" w:eastAsia="黑体" w:cs="黑体"/>
                <w:color w:val="333333"/>
                <w:kern w:val="2"/>
                <w:sz w:val="20"/>
                <w:szCs w:val="20"/>
                <w:lang w:val="en-US" w:eastAsia="zh-CN" w:bidi="ar"/>
              </w:rPr>
              <w:t>0</w:t>
            </w:r>
          </w:p>
        </w:tc>
        <w:tc>
          <w:tcPr>
            <w:tcW w:w="5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黑体" w:hAnsi="宋体" w:eastAsia="黑体" w:cs="黑体"/>
                <w:color w:val="333333"/>
                <w:kern w:val="2"/>
                <w:sz w:val="20"/>
                <w:szCs w:val="20"/>
                <w:lang w:val="en-US" w:eastAsia="zh-CN" w:bidi="ar"/>
              </w:rPr>
              <w:t>0</w:t>
            </w:r>
          </w:p>
        </w:tc>
        <w:tc>
          <w:tcPr>
            <w:tcW w:w="5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黑体" w:hAnsi="宋体" w:eastAsia="黑体" w:cs="黑体"/>
                <w:color w:val="333333"/>
                <w:kern w:val="2"/>
                <w:sz w:val="20"/>
                <w:szCs w:val="20"/>
                <w:lang w:val="en-US" w:eastAsia="zh-CN" w:bidi="ar"/>
              </w:rPr>
              <w:t>0</w:t>
            </w:r>
          </w:p>
        </w:tc>
        <w:tc>
          <w:tcPr>
            <w:tcW w:w="5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黑体" w:hAnsi="宋体" w:eastAsia="黑体" w:cs="黑体"/>
                <w:color w:val="333333"/>
                <w:kern w:val="2"/>
                <w:sz w:val="20"/>
                <w:szCs w:val="20"/>
                <w:lang w:val="en-US" w:eastAsia="zh-CN" w:bidi="ar"/>
              </w:rPr>
              <w:t>1</w:t>
            </w:r>
          </w:p>
        </w:tc>
        <w:tc>
          <w:tcPr>
            <w:tcW w:w="5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黑体" w:hAnsi="宋体" w:eastAsia="黑体" w:cs="黑体"/>
                <w:color w:val="333333"/>
                <w:kern w:val="2"/>
                <w:sz w:val="20"/>
                <w:szCs w:val="20"/>
                <w:lang w:val="en-US" w:eastAsia="zh-CN" w:bidi="ar"/>
              </w:rPr>
              <w:t>0</w:t>
            </w:r>
          </w:p>
        </w:tc>
        <w:tc>
          <w:tcPr>
            <w:tcW w:w="5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黑体" w:hAnsi="宋体" w:eastAsia="黑体" w:cs="黑体"/>
                <w:color w:val="333333"/>
                <w:kern w:val="2"/>
                <w:sz w:val="20"/>
                <w:szCs w:val="20"/>
                <w:lang w:val="en-US" w:eastAsia="zh-CN" w:bidi="ar"/>
              </w:rPr>
              <w:t>0</w:t>
            </w:r>
          </w:p>
        </w:tc>
        <w:tc>
          <w:tcPr>
            <w:tcW w:w="59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黑体" w:hAnsi="宋体" w:eastAsia="黑体" w:cs="黑体"/>
                <w:color w:val="333333"/>
                <w:kern w:val="2"/>
                <w:sz w:val="20"/>
                <w:szCs w:val="20"/>
                <w:lang w:val="en-US" w:eastAsia="zh-CN" w:bidi="ar"/>
              </w:rPr>
              <w:t>0</w:t>
            </w:r>
          </w:p>
        </w:tc>
        <w:tc>
          <w:tcPr>
            <w:tcW w:w="5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rPr>
                <w:rFonts w:hint="eastAsia" w:eastAsia="宋体"/>
                <w:lang w:val="en-US" w:eastAsia="zh-CN"/>
              </w:rPr>
            </w:pPr>
            <w:r>
              <w:rPr>
                <w:rFonts w:hint="eastAsia"/>
                <w:lang w:val="en-US" w:eastAsia="zh-CN"/>
              </w:rPr>
              <w:t>0</w:t>
            </w:r>
          </w:p>
        </w:tc>
        <w:tc>
          <w:tcPr>
            <w:tcW w:w="59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黑体" w:hAnsi="宋体" w:eastAsia="黑体" w:cs="黑体"/>
                <w:color w:val="333333"/>
                <w:kern w:val="2"/>
                <w:sz w:val="20"/>
                <w:szCs w:val="20"/>
                <w:lang w:val="en-US" w:eastAsia="zh-CN" w:bidi="ar"/>
              </w:rPr>
              <w:t>0</w:t>
            </w:r>
          </w:p>
        </w:tc>
        <w:tc>
          <w:tcPr>
            <w:tcW w:w="59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黑体" w:hAnsi="宋体" w:eastAsia="黑体" w:cs="黑体"/>
                <w:color w:val="333333"/>
                <w:kern w:val="2"/>
                <w:sz w:val="20"/>
                <w:szCs w:val="20"/>
                <w:lang w:val="en-US" w:eastAsia="zh-CN" w:bidi="ar"/>
              </w:rPr>
              <w:t>0</w:t>
            </w:r>
          </w:p>
        </w:tc>
        <w:tc>
          <w:tcPr>
            <w:tcW w:w="59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pPr>
            <w:r>
              <w:rPr>
                <w:rFonts w:hint="eastAsia" w:ascii="黑体" w:hAnsi="宋体" w:eastAsia="黑体" w:cs="黑体"/>
                <w:color w:val="333333"/>
                <w:kern w:val="2"/>
                <w:sz w:val="20"/>
                <w:szCs w:val="20"/>
                <w:lang w:val="en-US" w:eastAsia="zh-CN" w:bidi="ar"/>
              </w:rPr>
              <w:t>0</w:t>
            </w:r>
          </w:p>
        </w:tc>
        <w:tc>
          <w:tcPr>
            <w:tcW w:w="59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rPr>
                <w:rFonts w:hint="eastAsia" w:eastAsia="宋体"/>
                <w:lang w:val="en-US" w:eastAsia="zh-CN"/>
              </w:rPr>
            </w:pPr>
            <w:r>
              <w:rPr>
                <w:rFonts w:hint="eastAsia"/>
                <w:lang w:val="en-US" w:eastAsia="zh-CN"/>
              </w:rPr>
              <w:t>0</w:t>
            </w:r>
          </w:p>
        </w:tc>
        <w:tc>
          <w:tcPr>
            <w:tcW w:w="59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Lines="0" w:afterAutospacing="0" w:line="30" w:lineRule="atLeast"/>
              <w:ind w:left="0" w:leftChars="0" w:right="0" w:rightChars="0" w:firstLine="0" w:firstLineChars="0"/>
              <w:jc w:val="center"/>
              <w:rPr>
                <w:rFonts w:hint="eastAsia" w:eastAsia="宋体"/>
                <w:lang w:val="en-US" w:eastAsia="zh-CN"/>
              </w:rPr>
            </w:pPr>
            <w:r>
              <w:rPr>
                <w:rFonts w:hint="eastAsia"/>
                <w:lang w:val="en-US" w:eastAsia="zh-CN"/>
              </w:rPr>
              <w:t>0</w:t>
            </w:r>
          </w:p>
        </w:tc>
        <w:tc>
          <w:tcPr>
            <w:tcW w:w="59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color w:val="333333"/>
                <w:sz w:val="21"/>
                <w:szCs w:val="21"/>
                <w:lang w:val="en-US" w:eastAsia="zh-CN"/>
              </w:rPr>
            </w:pPr>
            <w:r>
              <w:rPr>
                <w:rFonts w:hint="eastAsia" w:ascii="宋体" w:hAnsi="宋体" w:cs="宋体"/>
                <w:color w:val="333333"/>
                <w:sz w:val="21"/>
                <w:szCs w:val="21"/>
                <w:lang w:val="en-US" w:eastAsia="zh-CN"/>
              </w:rPr>
              <w:t>0</w:t>
            </w:r>
          </w:p>
        </w:tc>
      </w:tr>
    </w:tbl>
    <w:p>
      <w:pPr>
        <w:pStyle w:val="6"/>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20"/>
        <w:jc w:val="both"/>
        <w:textAlignment w:val="auto"/>
        <w:rPr>
          <w:rFonts w:hint="eastAsia" w:ascii="宋体" w:hAnsi="宋体"/>
          <w:color w:val="000000"/>
          <w:sz w:val="24"/>
        </w:rPr>
      </w:pPr>
      <w:r>
        <w:rPr>
          <w:rFonts w:hint="eastAsia" w:ascii="黑体" w:hAnsi="黑体" w:eastAsia="黑体" w:cs="黑体"/>
          <w:b w:val="0"/>
          <w:bCs/>
          <w:color w:val="000000"/>
          <w:sz w:val="32"/>
          <w:szCs w:val="32"/>
        </w:rPr>
        <w:t>五、存在的主要问题及改进情况</w:t>
      </w:r>
    </w:p>
    <w:p>
      <w:pPr>
        <w:pStyle w:val="6"/>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2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2021年新碶街道政府信息公开工作仍存在一些问题和不足：一是主动向社会公开信息的领域有待进一步拓展；二是信息公开形式还需要进一步丰富；三是主动公开信息的时效性和数量有待进一步提高。对此，街道将重点从以下方面加强信息公开工作：</w:t>
      </w:r>
    </w:p>
    <w:p>
      <w:pPr>
        <w:pStyle w:val="6"/>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643" w:firstLineChars="20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val="en-US" w:eastAsia="zh-CN"/>
        </w:rPr>
        <w:t>1、提高认识，加强学习</w:t>
      </w:r>
      <w:r>
        <w:rPr>
          <w:rFonts w:hint="eastAsia" w:ascii="仿宋_GB2312" w:hAnsi="仿宋_GB2312" w:eastAsia="仿宋_GB2312" w:cs="仿宋_GB2312"/>
          <w:color w:val="000000"/>
          <w:sz w:val="32"/>
          <w:szCs w:val="32"/>
          <w:lang w:val="en-US" w:eastAsia="zh-CN"/>
        </w:rPr>
        <w:t>。要进一步深化对年度报告重要作用的认识，切实提高工作主动性、自觉性、不断提升工作实效，通过加强学习培训、规范工作流程等方式，不断提高工作人员的能力水平和工作效率。</w:t>
      </w:r>
    </w:p>
    <w:p>
      <w:pPr>
        <w:pStyle w:val="6"/>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643" w:firstLineChars="20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val="en-US" w:eastAsia="zh-CN"/>
        </w:rPr>
        <w:t>2、拓展多元化公开渠道</w:t>
      </w:r>
      <w:r>
        <w:rPr>
          <w:rFonts w:hint="eastAsia" w:ascii="仿宋_GB2312" w:hAnsi="仿宋_GB2312" w:eastAsia="仿宋_GB2312" w:cs="仿宋_GB2312"/>
          <w:color w:val="000000"/>
          <w:sz w:val="32"/>
          <w:szCs w:val="32"/>
          <w:lang w:val="en-US" w:eastAsia="zh-CN"/>
        </w:rPr>
        <w:t>。充分用好两微一端，加强对微博、微信等新技术、新媒体的应用和推广，推进互联网和政府信息公开工作的深度融合，运用微博、微信主动及时向社会群众公开热点信息，主动回应社会关切。</w:t>
      </w:r>
    </w:p>
    <w:p>
      <w:pPr>
        <w:shd w:val="clear" w:color="auto" w:fill="FFFFFF"/>
        <w:adjustRightInd/>
        <w:snapToGrid/>
        <w:spacing w:line="480" w:lineRule="atLeast"/>
        <w:ind w:firstLine="480"/>
        <w:rPr>
          <w:rFonts w:hint="eastAsia" w:ascii="微软雅黑" w:hAnsi="微软雅黑" w:eastAsia="微软雅黑" w:cs="宋体"/>
          <w:color w:val="333333"/>
          <w:sz w:val="21"/>
          <w:szCs w:val="21"/>
        </w:rPr>
      </w:pPr>
      <w:r>
        <w:rPr>
          <w:rFonts w:hint="eastAsia" w:ascii="仿宋_GB2312" w:hAnsi="仿宋_GB2312" w:eastAsia="仿宋_GB2312" w:cs="仿宋_GB2312"/>
          <w:b/>
          <w:bCs/>
          <w:color w:val="000000"/>
          <w:sz w:val="32"/>
          <w:szCs w:val="32"/>
          <w:lang w:val="en-US" w:eastAsia="zh-CN"/>
        </w:rPr>
        <w:t>3、围绕群众关切，加大公开力度</w:t>
      </w:r>
      <w:r>
        <w:rPr>
          <w:rFonts w:hint="eastAsia" w:ascii="仿宋_GB2312" w:hAnsi="仿宋_GB2312" w:eastAsia="仿宋_GB2312" w:cs="仿宋_GB2312"/>
          <w:color w:val="000000"/>
          <w:sz w:val="32"/>
          <w:szCs w:val="32"/>
          <w:lang w:val="en-US" w:eastAsia="zh-CN"/>
        </w:rPr>
        <w:t>。进一步公开与人民群众切身利益相关的城乡建设、财政资金等方面的信息，不断提高人民群众满意度，促进政府信息公开的广度和深度。</w:t>
      </w:r>
    </w:p>
    <w:p>
      <w:pPr>
        <w:pStyle w:val="6"/>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640" w:firstLineChars="200"/>
        <w:jc w:val="both"/>
        <w:textAlignment w:val="auto"/>
        <w:rPr>
          <w:rFonts w:hint="eastAsia" w:ascii="黑体" w:hAnsi="黑体" w:eastAsia="黑体" w:cs="黑体"/>
          <w:b w:val="0"/>
          <w:bCs/>
          <w:color w:val="000000"/>
          <w:sz w:val="32"/>
          <w:szCs w:val="32"/>
        </w:rPr>
      </w:pPr>
      <w:r>
        <w:rPr>
          <w:rFonts w:hint="eastAsia" w:ascii="黑体" w:hAnsi="黑体" w:eastAsia="黑体" w:cs="黑体"/>
          <w:b w:val="0"/>
          <w:bCs/>
          <w:color w:val="000000"/>
          <w:sz w:val="32"/>
          <w:szCs w:val="32"/>
        </w:rPr>
        <w:t>六、其他需要报告的事项</w:t>
      </w:r>
    </w:p>
    <w:p>
      <w:pPr>
        <w:pStyle w:val="6"/>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640" w:firstLineChars="200"/>
        <w:jc w:val="both"/>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本街道全年没有收到超出一定数量或者频次范围的政府信息公开申请，也未对申请人收取信息处理费</w:t>
      </w:r>
      <w:r>
        <w:rPr>
          <w:rFonts w:hint="eastAsia" w:ascii="仿宋_GB2312" w:hAnsi="仿宋_GB2312" w:eastAsia="仿宋_GB2312" w:cs="仿宋_GB2312"/>
          <w:color w:val="000000"/>
          <w:sz w:val="32"/>
          <w:szCs w:val="32"/>
          <w:lang w:eastAsia="zh-CN"/>
        </w:rPr>
        <w:t>。</w:t>
      </w:r>
    </w:p>
    <w:p>
      <w:pPr>
        <w:pStyle w:val="6"/>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20"/>
        <w:jc w:val="both"/>
        <w:textAlignment w:val="auto"/>
        <w:rPr>
          <w:rFonts w:hint="eastAsia" w:ascii="仿宋_GB2312" w:hAnsi="仿宋_GB2312" w:eastAsia="仿宋_GB2312" w:cs="仿宋_GB2312"/>
          <w:color w:val="000000"/>
          <w:sz w:val="32"/>
          <w:szCs w:val="32"/>
          <w:lang w:eastAsia="zh-CN"/>
        </w:rPr>
      </w:pPr>
    </w:p>
    <w:p>
      <w:pPr>
        <w:pStyle w:val="6"/>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20"/>
        <w:jc w:val="both"/>
        <w:textAlignment w:val="auto"/>
        <w:rPr>
          <w:rFonts w:hint="eastAsia" w:ascii="仿宋_GB2312" w:hAnsi="仿宋_GB2312" w:eastAsia="仿宋_GB2312" w:cs="仿宋_GB2312"/>
          <w:color w:val="000000"/>
          <w:sz w:val="32"/>
          <w:szCs w:val="32"/>
        </w:rPr>
      </w:pPr>
    </w:p>
    <w:p>
      <w:pPr>
        <w:pStyle w:val="6"/>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20"/>
        <w:jc w:val="right"/>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新碶街道办事处</w:t>
      </w:r>
    </w:p>
    <w:p>
      <w:pPr>
        <w:pStyle w:val="6"/>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20"/>
        <w:jc w:val="right"/>
        <w:textAlignment w:val="auto"/>
      </w:pPr>
      <w:r>
        <w:rPr>
          <w:rFonts w:hint="eastAsia" w:ascii="仿宋_GB2312" w:hAnsi="仿宋_GB2312" w:eastAsia="仿宋_GB2312" w:cs="仿宋_GB2312"/>
          <w:color w:val="000000"/>
          <w:sz w:val="32"/>
          <w:szCs w:val="32"/>
          <w:lang w:val="en-US" w:eastAsia="zh-CN"/>
        </w:rPr>
        <w:t>2022年1月20日</w:t>
      </w:r>
    </w:p>
    <w:sectPr>
      <w:footerReference r:id="rId4" w:type="default"/>
      <w:pgSz w:w="11906" w:h="16838"/>
      <w:pgMar w:top="1780" w:right="1800" w:bottom="1134" w:left="1916" w:header="851" w:footer="1417" w:gutter="0"/>
      <w:pgBorders>
        <w:top w:val="none" w:sz="0" w:space="0"/>
        <w:left w:val="none" w:sz="0" w:space="0"/>
        <w:bottom w:val="none" w:sz="0" w:space="0"/>
        <w:right w:val="none" w:sz="0" w:space="0"/>
      </w:pgBorders>
      <w:pgNumType w:fmt="numberInDash" w:start="2"/>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4"/>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4941BA"/>
    <w:multiLevelType w:val="singleLevel"/>
    <w:tmpl w:val="414941BA"/>
    <w:lvl w:ilvl="0" w:tentative="0">
      <w:start w:val="1"/>
      <w:numFmt w:val="chineseCounting"/>
      <w:suff w:val="nothing"/>
      <w:lvlText w:val="（%1）"/>
      <w:lvlJc w:val="left"/>
      <w:pPr>
        <w:ind w:left="640" w:leftChars="0" w:firstLine="0" w:firstLineChars="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C72B92"/>
    <w:rsid w:val="01381543"/>
    <w:rsid w:val="02602565"/>
    <w:rsid w:val="02B94E08"/>
    <w:rsid w:val="041746CA"/>
    <w:rsid w:val="04D56407"/>
    <w:rsid w:val="053B6C8A"/>
    <w:rsid w:val="07383881"/>
    <w:rsid w:val="07B41CDE"/>
    <w:rsid w:val="0A8B4CD1"/>
    <w:rsid w:val="0ACE0B40"/>
    <w:rsid w:val="0AE87370"/>
    <w:rsid w:val="0B3F66D6"/>
    <w:rsid w:val="0CD76F46"/>
    <w:rsid w:val="0CDF4D1D"/>
    <w:rsid w:val="0CF83989"/>
    <w:rsid w:val="0D4E6168"/>
    <w:rsid w:val="0E633915"/>
    <w:rsid w:val="0ECC307F"/>
    <w:rsid w:val="11F6552A"/>
    <w:rsid w:val="12F9771F"/>
    <w:rsid w:val="14051A5A"/>
    <w:rsid w:val="14255AE4"/>
    <w:rsid w:val="17787A2A"/>
    <w:rsid w:val="17930773"/>
    <w:rsid w:val="183B5FD5"/>
    <w:rsid w:val="19696E0C"/>
    <w:rsid w:val="1AAD4CB7"/>
    <w:rsid w:val="1AAF7528"/>
    <w:rsid w:val="1BB219B7"/>
    <w:rsid w:val="1CB84297"/>
    <w:rsid w:val="1D401E8B"/>
    <w:rsid w:val="1DFF3F01"/>
    <w:rsid w:val="1E071B1C"/>
    <w:rsid w:val="1E114E03"/>
    <w:rsid w:val="20206390"/>
    <w:rsid w:val="203B6335"/>
    <w:rsid w:val="224F3728"/>
    <w:rsid w:val="2297354C"/>
    <w:rsid w:val="22F0182A"/>
    <w:rsid w:val="23735386"/>
    <w:rsid w:val="23E6791D"/>
    <w:rsid w:val="24E5179E"/>
    <w:rsid w:val="265936BB"/>
    <w:rsid w:val="28486EEB"/>
    <w:rsid w:val="28591E33"/>
    <w:rsid w:val="2A3079DC"/>
    <w:rsid w:val="2AC72B92"/>
    <w:rsid w:val="2B2D18CD"/>
    <w:rsid w:val="2BA5051A"/>
    <w:rsid w:val="2C6334D3"/>
    <w:rsid w:val="2DBB7F4B"/>
    <w:rsid w:val="2DEC511C"/>
    <w:rsid w:val="2FDF6689"/>
    <w:rsid w:val="31410B9D"/>
    <w:rsid w:val="3166127B"/>
    <w:rsid w:val="316A34A8"/>
    <w:rsid w:val="318A10D1"/>
    <w:rsid w:val="347F5E33"/>
    <w:rsid w:val="350864C9"/>
    <w:rsid w:val="35CF723B"/>
    <w:rsid w:val="36186151"/>
    <w:rsid w:val="36835E6A"/>
    <w:rsid w:val="369E2163"/>
    <w:rsid w:val="376046DB"/>
    <w:rsid w:val="38080218"/>
    <w:rsid w:val="387A196A"/>
    <w:rsid w:val="390B39AC"/>
    <w:rsid w:val="391536F1"/>
    <w:rsid w:val="3A9B6413"/>
    <w:rsid w:val="3B0304D6"/>
    <w:rsid w:val="3C105F0F"/>
    <w:rsid w:val="3CD808E8"/>
    <w:rsid w:val="400474B8"/>
    <w:rsid w:val="40742A3B"/>
    <w:rsid w:val="418C50D2"/>
    <w:rsid w:val="420A5259"/>
    <w:rsid w:val="429F7129"/>
    <w:rsid w:val="433946FD"/>
    <w:rsid w:val="43AD1D66"/>
    <w:rsid w:val="44EC5EDC"/>
    <w:rsid w:val="471A6376"/>
    <w:rsid w:val="479778AE"/>
    <w:rsid w:val="486A0C38"/>
    <w:rsid w:val="48D62C1D"/>
    <w:rsid w:val="48F5210B"/>
    <w:rsid w:val="496E5CF0"/>
    <w:rsid w:val="49C66341"/>
    <w:rsid w:val="4A3C0C70"/>
    <w:rsid w:val="4B32244A"/>
    <w:rsid w:val="4DCE0B6B"/>
    <w:rsid w:val="4E250ACF"/>
    <w:rsid w:val="4E8E0483"/>
    <w:rsid w:val="504A1E5D"/>
    <w:rsid w:val="50681217"/>
    <w:rsid w:val="5104342F"/>
    <w:rsid w:val="510F587A"/>
    <w:rsid w:val="542907F9"/>
    <w:rsid w:val="57DB2840"/>
    <w:rsid w:val="58040B43"/>
    <w:rsid w:val="5A3103C3"/>
    <w:rsid w:val="5B5C4084"/>
    <w:rsid w:val="5D345B6B"/>
    <w:rsid w:val="5FAE74F5"/>
    <w:rsid w:val="62613CD6"/>
    <w:rsid w:val="66857619"/>
    <w:rsid w:val="686455C2"/>
    <w:rsid w:val="68BF5895"/>
    <w:rsid w:val="69C96872"/>
    <w:rsid w:val="6C2B6DB5"/>
    <w:rsid w:val="6C8661C2"/>
    <w:rsid w:val="6C884E6B"/>
    <w:rsid w:val="6C980174"/>
    <w:rsid w:val="6D6B16AD"/>
    <w:rsid w:val="6E171A7D"/>
    <w:rsid w:val="6EE825E8"/>
    <w:rsid w:val="6EED1430"/>
    <w:rsid w:val="6F5123A4"/>
    <w:rsid w:val="6FAB550E"/>
    <w:rsid w:val="70B23FEE"/>
    <w:rsid w:val="750B0F29"/>
    <w:rsid w:val="769D1531"/>
    <w:rsid w:val="769E5421"/>
    <w:rsid w:val="77FA56FB"/>
    <w:rsid w:val="7809205A"/>
    <w:rsid w:val="78A23952"/>
    <w:rsid w:val="79442A37"/>
    <w:rsid w:val="796037CD"/>
    <w:rsid w:val="79E12476"/>
    <w:rsid w:val="7B09196A"/>
    <w:rsid w:val="7B4D2B47"/>
    <w:rsid w:val="7B7C1DC3"/>
    <w:rsid w:val="7BA93249"/>
    <w:rsid w:val="7E405D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0"/>
    <w:pPr>
      <w:spacing w:beforeLines="0" w:afterLines="0"/>
      <w:jc w:val="both"/>
    </w:pPr>
    <w:rPr>
      <w:rFonts w:hint="default" w:ascii="Times New Roman" w:hAnsi="Times New Roman" w:eastAsia="宋体" w:cs="Times New Roman"/>
      <w:kern w:val="2"/>
      <w:sz w:val="21"/>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spacing w:after="0" w:line="300" w:lineRule="auto"/>
      <w:ind w:left="0" w:leftChars="0"/>
    </w:pPr>
    <w:rPr>
      <w:rFonts w:hint="default" w:ascii="Calibri" w:hAnsi="Calibri"/>
      <w:i/>
      <w:sz w:val="21"/>
    </w:rPr>
  </w:style>
  <w:style w:type="paragraph" w:styleId="3">
    <w:name w:val="Body Text Indent"/>
    <w:basedOn w:val="1"/>
    <w:unhideWhenUsed/>
    <w:qFormat/>
    <w:uiPriority w:val="99"/>
    <w:pPr>
      <w:spacing w:after="120"/>
      <w:ind w:left="420" w:leftChars="200"/>
    </w:pPr>
    <w:rPr>
      <w:rFonts w:hint="default"/>
      <w:sz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nhideWhenUsed/>
    <w:qFormat/>
    <w:uiPriority w:val="99"/>
    <w:pPr>
      <w:spacing w:before="100" w:beforeLines="0" w:beforeAutospacing="1" w:after="100" w:afterLines="0" w:afterAutospacing="1"/>
      <w:jc w:val="left"/>
    </w:pPr>
    <w:rPr>
      <w:rFonts w:hint="default"/>
      <w:kern w:val="0"/>
      <w:sz w:val="24"/>
      <w:lang w:val="en-US" w:eastAsia="zh-CN"/>
    </w:rPr>
  </w:style>
  <w:style w:type="character" w:styleId="9">
    <w:name w:val="Strong"/>
    <w:basedOn w:val="8"/>
    <w:qFormat/>
    <w:uiPriority w:val="0"/>
    <w:rPr>
      <w:b/>
    </w:rPr>
  </w:style>
  <w:style w:type="character" w:styleId="10">
    <w:name w:val="FollowedHyperlink"/>
    <w:basedOn w:val="8"/>
    <w:qFormat/>
    <w:uiPriority w:val="0"/>
    <w:rPr>
      <w:color w:val="404040"/>
      <w:u w:val="none"/>
    </w:rPr>
  </w:style>
  <w:style w:type="character" w:styleId="11">
    <w:name w:val="Emphasis"/>
    <w:basedOn w:val="8"/>
    <w:qFormat/>
    <w:uiPriority w:val="0"/>
  </w:style>
  <w:style w:type="character" w:styleId="12">
    <w:name w:val="HTML Variable"/>
    <w:basedOn w:val="8"/>
    <w:qFormat/>
    <w:uiPriority w:val="0"/>
  </w:style>
  <w:style w:type="character" w:styleId="13">
    <w:name w:val="Hyperlink"/>
    <w:basedOn w:val="8"/>
    <w:qFormat/>
    <w:uiPriority w:val="0"/>
    <w:rPr>
      <w:color w:val="40404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2021-01-07T07:28:00Z</dcterms:created>
  <dc:creator>2017030222</dc:creator>
  <cp:lastModifiedBy>Lirio</cp:lastModifiedBy>
  <dcterms:modified xsi:type="dcterms:W3CDTF">2022-01-25T09:47:00Z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E397E8483B8E4943B67A4607F4B42834</vt:lpwstr>
  </property>
</Properties>
</file>