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仿宋_GB2312" w:hAnsi="仿宋_GB2312" w:eastAsia="仿宋_GB2312" w:cs="仿宋_GB2312"/>
          <w:b w:val="0"/>
          <w:color w:val="333333"/>
          <w:kern w:val="0"/>
          <w:sz w:val="32"/>
          <w:szCs w:val="32"/>
          <w:lang w:val="en-US" w:eastAsia="zh-CN" w:bidi="ar"/>
        </w:rPr>
      </w:pPr>
      <w:r>
        <w:rPr>
          <w:rFonts w:hint="eastAsia" w:ascii="方正小标宋简体" w:hAnsi="方正小标宋简体" w:eastAsia="方正小标宋简体" w:cs="方正小标宋简体"/>
          <w:b w:val="0"/>
          <w:color w:val="333333"/>
          <w:kern w:val="0"/>
          <w:sz w:val="44"/>
          <w:szCs w:val="44"/>
          <w:lang w:val="en-US" w:eastAsia="zh-CN" w:bidi="ar"/>
        </w:rPr>
        <w:t>2021年度北仑区交通运输局政府信息公开工作年度报告</w:t>
      </w:r>
    </w:p>
    <w:p>
      <w:pPr>
        <w:keepNext w:val="0"/>
        <w:keepLines w:val="0"/>
        <w:pageBreakBefore w:val="0"/>
        <w:widowControl/>
        <w:kinsoku/>
        <w:wordWrap/>
        <w:overflowPunct/>
        <w:topLinePunct w:val="0"/>
        <w:autoSpaceDE/>
        <w:autoSpaceDN/>
        <w:bidi w:val="0"/>
        <w:spacing w:after="0" w:line="540" w:lineRule="exact"/>
        <w:textAlignment w:val="auto"/>
        <w:rPr>
          <w:rFonts w:hint="eastAsia" w:ascii="仿宋_GB2312" w:hAnsi="仿宋_GB2312" w:eastAsia="仿宋_GB2312" w:cs="仿宋_GB2312"/>
          <w:b w:val="0"/>
          <w:color w:val="333333"/>
          <w:kern w:val="0"/>
          <w:sz w:val="32"/>
          <w:szCs w:val="32"/>
          <w:lang w:val="en-US" w:eastAsia="zh-CN" w:bidi="ar"/>
        </w:rPr>
      </w:pPr>
    </w:p>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0" w:afterAutospacing="0" w:line="520" w:lineRule="exact"/>
        <w:ind w:firstLine="640" w:firstLineChars="200"/>
        <w:jc w:val="left"/>
        <w:textAlignment w:val="auto"/>
        <w:outlineLvl w:val="0"/>
        <w:rPr>
          <w:rFonts w:hint="eastAsia" w:ascii="黑体" w:hAnsi="黑体" w:eastAsia="黑体" w:cs="黑体"/>
          <w:b w:val="0"/>
          <w:color w:val="333333"/>
          <w:sz w:val="32"/>
          <w:szCs w:val="32"/>
          <w:lang w:val="en-US" w:eastAsia="zh-CN"/>
        </w:rPr>
      </w:pPr>
      <w:r>
        <w:rPr>
          <w:rFonts w:hint="eastAsia" w:ascii="黑体" w:hAnsi="黑体" w:eastAsia="黑体" w:cs="黑体"/>
          <w:b w:val="0"/>
          <w:color w:val="333333"/>
          <w:sz w:val="32"/>
          <w:szCs w:val="32"/>
          <w:lang w:val="en-US" w:eastAsia="zh-CN"/>
        </w:rPr>
        <w:t>一、总体情况</w:t>
      </w:r>
    </w:p>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0" w:afterAutospacing="0" w:line="520" w:lineRule="exact"/>
        <w:ind w:firstLine="640" w:firstLineChars="200"/>
        <w:jc w:val="left"/>
        <w:textAlignment w:val="auto"/>
        <w:rPr>
          <w:rFonts w:hint="eastAsia" w:ascii="仿宋_GB2312" w:hAnsi="仿宋_GB2312" w:eastAsia="仿宋_GB2312" w:cs="仿宋_GB2312"/>
          <w:b w:val="0"/>
          <w:color w:val="auto"/>
          <w:sz w:val="32"/>
          <w:szCs w:val="32"/>
          <w:lang w:val="en-US" w:eastAsia="zh-CN"/>
        </w:rPr>
      </w:pPr>
      <w:r>
        <w:rPr>
          <w:rFonts w:hint="eastAsia" w:ascii="仿宋_GB2312" w:hAnsi="仿宋_GB2312" w:eastAsia="仿宋_GB2312" w:cs="仿宋_GB2312"/>
          <w:b w:val="0"/>
          <w:color w:val="auto"/>
          <w:sz w:val="32"/>
          <w:szCs w:val="32"/>
          <w:lang w:val="en-US" w:eastAsia="zh-CN"/>
        </w:rPr>
        <w:t>2021年，北仑区交通运输</w:t>
      </w:r>
      <w:r>
        <w:rPr>
          <w:rFonts w:hint="eastAsia" w:ascii="仿宋_GB2312" w:hAnsi="仿宋_GB2312" w:eastAsia="仿宋_GB2312" w:cs="仿宋_GB2312"/>
          <w:b w:val="0"/>
          <w:color w:val="auto"/>
          <w:sz w:val="32"/>
          <w:szCs w:val="32"/>
          <w:lang w:eastAsia="zh-CN"/>
        </w:rPr>
        <w:t>局</w:t>
      </w:r>
      <w:r>
        <w:rPr>
          <w:rFonts w:hint="eastAsia" w:ascii="仿宋_GB2312" w:hAnsi="仿宋_GB2312" w:eastAsia="仿宋_GB2312" w:cs="仿宋_GB2312"/>
          <w:b w:val="0"/>
          <w:color w:val="auto"/>
          <w:sz w:val="32"/>
          <w:szCs w:val="32"/>
        </w:rPr>
        <w:t>按照区政府的统一部署，加强领导，健全制度，落实责任，</w:t>
      </w:r>
      <w:r>
        <w:rPr>
          <w:rFonts w:hint="eastAsia" w:ascii="仿宋_GB2312" w:hAnsi="仿宋_GB2312" w:eastAsia="仿宋_GB2312" w:cs="仿宋_GB2312"/>
          <w:b w:val="0"/>
          <w:color w:val="auto"/>
          <w:sz w:val="32"/>
          <w:szCs w:val="32"/>
          <w:lang w:eastAsia="zh-CN"/>
        </w:rPr>
        <w:t>积极主动做好</w:t>
      </w:r>
      <w:r>
        <w:rPr>
          <w:rFonts w:hint="eastAsia" w:ascii="仿宋_GB2312" w:hAnsi="仿宋_GB2312" w:eastAsia="仿宋_GB2312" w:cs="仿宋_GB2312"/>
          <w:b w:val="0"/>
          <w:color w:val="auto"/>
          <w:sz w:val="32"/>
          <w:szCs w:val="32"/>
        </w:rPr>
        <w:t>信息发布、解读和回应工作，扩大公众参与度，依法、及时、准确地开展政府信息公开工作。</w:t>
      </w:r>
      <w:r>
        <w:rPr>
          <w:rFonts w:hint="eastAsia" w:ascii="仿宋_GB2312" w:hAnsi="仿宋_GB2312" w:eastAsia="仿宋_GB2312" w:cs="仿宋_GB2312"/>
          <w:b w:val="0"/>
          <w:color w:val="auto"/>
          <w:sz w:val="32"/>
          <w:szCs w:val="32"/>
          <w:lang w:eastAsia="zh-CN"/>
        </w:rPr>
        <w:t>根据政务公开要求，结合我局实际工作，细化责任，确保政务公开工作有序推进。</w:t>
      </w:r>
    </w:p>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0" w:afterAutospacing="0" w:line="520" w:lineRule="exact"/>
        <w:ind w:firstLine="640" w:firstLineChars="200"/>
        <w:jc w:val="left"/>
        <w:textAlignment w:val="auto"/>
        <w:rPr>
          <w:rFonts w:hint="eastAsia" w:ascii="仿宋_GB2312" w:hAnsi="仿宋_GB2312" w:eastAsia="仿宋_GB2312" w:cs="仿宋_GB2312"/>
          <w:b w:val="0"/>
          <w:color w:val="auto"/>
          <w:sz w:val="32"/>
          <w:szCs w:val="32"/>
        </w:rPr>
      </w:pPr>
      <w:r>
        <w:rPr>
          <w:rFonts w:hint="eastAsia" w:ascii="仿宋_GB2312" w:hAnsi="仿宋_GB2312" w:eastAsia="仿宋_GB2312" w:cs="仿宋_GB2312"/>
          <w:b w:val="0"/>
          <w:color w:val="auto"/>
          <w:sz w:val="32"/>
          <w:szCs w:val="32"/>
        </w:rPr>
        <w:t>一是</w:t>
      </w:r>
      <w:r>
        <w:rPr>
          <w:rFonts w:hint="eastAsia" w:ascii="仿宋_GB2312" w:hAnsi="仿宋_GB2312" w:eastAsia="仿宋_GB2312" w:cs="仿宋_GB2312"/>
          <w:b w:val="0"/>
          <w:color w:val="auto"/>
          <w:sz w:val="32"/>
          <w:szCs w:val="32"/>
          <w:lang w:eastAsia="zh-CN"/>
        </w:rPr>
        <w:t>加强机构队伍建设</w:t>
      </w:r>
      <w:r>
        <w:rPr>
          <w:rFonts w:hint="eastAsia" w:ascii="仿宋_GB2312" w:hAnsi="仿宋_GB2312" w:eastAsia="仿宋_GB2312" w:cs="仿宋_GB2312"/>
          <w:b w:val="0"/>
          <w:color w:val="auto"/>
          <w:sz w:val="32"/>
          <w:szCs w:val="32"/>
        </w:rPr>
        <w:t>。</w:t>
      </w:r>
      <w:r>
        <w:rPr>
          <w:rFonts w:hint="eastAsia" w:ascii="仿宋_GB2312" w:hAnsi="仿宋_GB2312" w:eastAsia="仿宋_GB2312" w:cs="仿宋_GB2312"/>
          <w:b w:val="0"/>
          <w:color w:val="auto"/>
          <w:sz w:val="32"/>
          <w:szCs w:val="32"/>
          <w:lang w:val="en-US" w:eastAsia="zh-CN"/>
        </w:rPr>
        <w:t>建立局政府信息公开领导小组，由局主要领导任组长，分管领导任副组长，局综合科、建管科、安法科、运管科、审批科、财审科等各科室负责人为成员，办公室设在局综合科，并落实专人处理日常事务。同时落实局属各科室政府信息公开工作职责，着力推进行政审批信息公开、部门预算决算、“三公”经费公开、重大决策信息公开、工程项目信息公开等工作。</w:t>
      </w:r>
    </w:p>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0" w:afterAutospacing="0" w:line="520" w:lineRule="exact"/>
        <w:ind w:firstLine="640" w:firstLineChars="200"/>
        <w:jc w:val="left"/>
        <w:textAlignment w:val="auto"/>
        <w:rPr>
          <w:rFonts w:hint="eastAsia" w:ascii="仿宋_GB2312" w:hAnsi="仿宋_GB2312" w:eastAsia="仿宋_GB2312" w:cs="仿宋_GB2312"/>
          <w:b w:val="0"/>
          <w:color w:val="auto"/>
          <w:sz w:val="32"/>
          <w:szCs w:val="32"/>
          <w:lang w:eastAsia="zh-CN"/>
        </w:rPr>
      </w:pPr>
      <w:r>
        <w:rPr>
          <w:rFonts w:hint="eastAsia" w:ascii="仿宋_GB2312" w:hAnsi="仿宋_GB2312" w:eastAsia="仿宋_GB2312" w:cs="仿宋_GB2312"/>
          <w:b w:val="0"/>
          <w:color w:val="auto"/>
          <w:sz w:val="32"/>
          <w:szCs w:val="32"/>
        </w:rPr>
        <w:t>二是</w:t>
      </w:r>
      <w:r>
        <w:rPr>
          <w:rFonts w:hint="eastAsia" w:ascii="仿宋_GB2312" w:hAnsi="仿宋_GB2312" w:eastAsia="仿宋_GB2312" w:cs="仿宋_GB2312"/>
          <w:b w:val="0"/>
          <w:color w:val="auto"/>
          <w:sz w:val="32"/>
          <w:szCs w:val="32"/>
          <w:lang w:eastAsia="zh-CN"/>
        </w:rPr>
        <w:t>规范信息公开程序</w:t>
      </w:r>
      <w:r>
        <w:rPr>
          <w:rFonts w:hint="eastAsia" w:ascii="仿宋_GB2312" w:hAnsi="仿宋_GB2312" w:eastAsia="仿宋_GB2312" w:cs="仿宋_GB2312"/>
          <w:b w:val="0"/>
          <w:color w:val="auto"/>
          <w:sz w:val="32"/>
          <w:szCs w:val="32"/>
        </w:rPr>
        <w:t>。为确保政府信息公开的真实、及时、有效、安全，落实公开前审查制度，做好政府信息公开前的文件审核签发工作，明确公开信息谁签发，谁审查，落实谁主管谁负责的政府信息公开</w:t>
      </w:r>
      <w:r>
        <w:rPr>
          <w:rFonts w:hint="eastAsia" w:ascii="仿宋_GB2312" w:hAnsi="仿宋_GB2312" w:eastAsia="仿宋_GB2312" w:cs="仿宋_GB2312"/>
          <w:b w:val="0"/>
          <w:color w:val="auto"/>
          <w:sz w:val="32"/>
          <w:szCs w:val="32"/>
          <w:lang w:val="en-US" w:eastAsia="zh-CN"/>
        </w:rPr>
        <w:t>责任追究制度，落实政府公开信息送交办法。</w:t>
      </w:r>
      <w:r>
        <w:rPr>
          <w:rFonts w:hint="eastAsia" w:ascii="仿宋_GB2312" w:hAnsi="仿宋_GB2312" w:eastAsia="仿宋_GB2312" w:cs="仿宋_GB2312"/>
          <w:b w:val="0"/>
          <w:color w:val="auto"/>
          <w:sz w:val="32"/>
          <w:szCs w:val="32"/>
        </w:rPr>
        <w:t>对拟公开的文件未经审查的不得公开。严格执行保密规定，确保公开的信息不涉密、涉密的信息不公开。</w:t>
      </w:r>
      <w:r>
        <w:rPr>
          <w:rFonts w:hint="eastAsia" w:ascii="仿宋_GB2312" w:hAnsi="仿宋_GB2312" w:eastAsia="仿宋_GB2312" w:cs="仿宋_GB2312"/>
          <w:b w:val="0"/>
          <w:color w:val="auto"/>
          <w:sz w:val="32"/>
          <w:szCs w:val="32"/>
          <w:lang w:eastAsia="zh-CN"/>
        </w:rPr>
        <w:t>做好日常自查工作，常态化开展隐患自查，发现公开不及时的栏目，及时查缺补漏。</w:t>
      </w:r>
    </w:p>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0" w:afterAutospacing="0" w:line="520" w:lineRule="exact"/>
        <w:ind w:firstLine="640" w:firstLineChars="200"/>
        <w:jc w:val="left"/>
        <w:textAlignment w:val="auto"/>
        <w:rPr>
          <w:rFonts w:hint="eastAsia" w:ascii="仿宋_GB2312" w:hAnsi="仿宋_GB2312" w:eastAsia="仿宋_GB2312" w:cs="仿宋_GB2312"/>
          <w:b w:val="0"/>
          <w:color w:val="auto"/>
          <w:sz w:val="32"/>
          <w:szCs w:val="32"/>
          <w:lang w:val="en-US" w:eastAsia="zh-CN"/>
        </w:rPr>
      </w:pPr>
      <w:r>
        <w:rPr>
          <w:rFonts w:hint="eastAsia" w:ascii="仿宋_GB2312" w:hAnsi="仿宋_GB2312" w:eastAsia="仿宋_GB2312" w:cs="仿宋_GB2312"/>
          <w:b w:val="0"/>
          <w:color w:val="auto"/>
          <w:sz w:val="32"/>
          <w:szCs w:val="32"/>
          <w:lang w:val="en-US" w:eastAsia="zh-CN"/>
        </w:rPr>
        <w:t>三是优化信息平台建设。优化政务信息公开网中我局政务公开栏目设置，丰富公开内容。特别是加强了对重大项目建设实施过程的及时梳理与公开发布，使民众可以第一时间了解与监督重大项目的工作进展。全面加快新媒体平台建设，打造政务微博、微信公众号作为政务公开的延伸阵地。目前我局已开设本级“北仑交通”、下属事业单位“北仑区公路与运输管理中心”微博和微信公众号，并在公众号增设“部门信箱”菜单，链接至“统一政务咨询投诉举报平台”。</w:t>
      </w:r>
    </w:p>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0" w:afterAutospacing="0" w:line="520" w:lineRule="exact"/>
        <w:ind w:firstLine="640" w:firstLineChars="200"/>
        <w:jc w:val="left"/>
        <w:textAlignment w:val="auto"/>
        <w:rPr>
          <w:rFonts w:hint="eastAsia" w:ascii="仿宋_GB2312" w:hAnsi="仿宋_GB2312" w:eastAsia="仿宋_GB2312" w:cs="仿宋_GB2312"/>
          <w:b w:val="0"/>
          <w:color w:val="000000" w:themeColor="text1"/>
          <w:sz w:val="32"/>
          <w:szCs w:val="32"/>
        </w:rPr>
      </w:pPr>
      <w:r>
        <w:rPr>
          <w:rFonts w:hint="eastAsia" w:ascii="仿宋_GB2312" w:hAnsi="仿宋_GB2312" w:eastAsia="仿宋_GB2312" w:cs="仿宋_GB2312"/>
          <w:b w:val="0"/>
          <w:color w:val="auto"/>
          <w:sz w:val="32"/>
          <w:szCs w:val="32"/>
          <w:lang w:eastAsia="zh-CN"/>
        </w:rPr>
        <w:t>四</w:t>
      </w:r>
      <w:r>
        <w:rPr>
          <w:rFonts w:hint="eastAsia" w:ascii="仿宋_GB2312" w:hAnsi="仿宋_GB2312" w:eastAsia="仿宋_GB2312" w:cs="仿宋_GB2312"/>
          <w:b w:val="0"/>
          <w:color w:val="auto"/>
          <w:sz w:val="32"/>
          <w:szCs w:val="32"/>
        </w:rPr>
        <w:t>是</w:t>
      </w:r>
      <w:r>
        <w:rPr>
          <w:rFonts w:hint="eastAsia" w:ascii="仿宋_GB2312" w:hAnsi="仿宋_GB2312" w:eastAsia="仿宋_GB2312" w:cs="仿宋_GB2312"/>
          <w:b w:val="0"/>
          <w:color w:val="auto"/>
          <w:sz w:val="32"/>
          <w:szCs w:val="32"/>
          <w:lang w:eastAsia="zh-CN"/>
        </w:rPr>
        <w:t>加强政务公开监管</w:t>
      </w:r>
      <w:r>
        <w:rPr>
          <w:rFonts w:hint="eastAsia" w:ascii="仿宋_GB2312" w:hAnsi="仿宋_GB2312" w:eastAsia="仿宋_GB2312" w:cs="仿宋_GB2312"/>
          <w:b w:val="0"/>
          <w:color w:val="auto"/>
          <w:sz w:val="32"/>
          <w:szCs w:val="32"/>
        </w:rPr>
        <w:t>。强化内部管理，做好政府信息公开的日常监督和组织协调，发现问题，及时纠正。自觉接受社会群众监督，建立政府信息公开联系人制度，</w:t>
      </w:r>
      <w:r>
        <w:rPr>
          <w:rFonts w:hint="eastAsia" w:ascii="仿宋_GB2312" w:hAnsi="仿宋_GB2312" w:eastAsia="仿宋_GB2312" w:cs="仿宋_GB2312"/>
          <w:b w:val="0"/>
          <w:color w:val="auto"/>
          <w:sz w:val="32"/>
          <w:szCs w:val="32"/>
          <w:lang w:eastAsia="zh-CN"/>
        </w:rPr>
        <w:t>发挥社会监督作用，提高信息公开的主动性</w:t>
      </w:r>
      <w:r>
        <w:rPr>
          <w:rFonts w:hint="eastAsia" w:ascii="仿宋_GB2312" w:hAnsi="仿宋_GB2312" w:eastAsia="仿宋_GB2312" w:cs="仿宋_GB2312"/>
          <w:b w:val="0"/>
          <w:color w:val="000000" w:themeColor="text1"/>
          <w:sz w:val="32"/>
          <w:szCs w:val="32"/>
        </w:rPr>
        <w:t>；在网上公布监督</w:t>
      </w:r>
      <w:r>
        <w:rPr>
          <w:rFonts w:hint="eastAsia" w:ascii="仿宋_GB2312" w:hAnsi="仿宋_GB2312" w:eastAsia="仿宋_GB2312" w:cs="仿宋_GB2312"/>
          <w:b w:val="0"/>
          <w:color w:val="000000" w:themeColor="text1"/>
          <w:sz w:val="32"/>
          <w:szCs w:val="32"/>
          <w:lang w:eastAsia="zh-CN"/>
        </w:rPr>
        <w:t>渠道</w:t>
      </w:r>
      <w:r>
        <w:rPr>
          <w:rFonts w:hint="eastAsia" w:ascii="仿宋_GB2312" w:hAnsi="仿宋_GB2312" w:eastAsia="仿宋_GB2312" w:cs="仿宋_GB2312"/>
          <w:b w:val="0"/>
          <w:color w:val="000000" w:themeColor="text1"/>
          <w:sz w:val="32"/>
          <w:szCs w:val="32"/>
        </w:rPr>
        <w:t>，投诉和举报电话，建</w:t>
      </w:r>
      <w:r>
        <w:rPr>
          <w:rFonts w:hint="eastAsia" w:ascii="仿宋_GB2312" w:hAnsi="仿宋_GB2312" w:eastAsia="仿宋_GB2312" w:cs="仿宋_GB2312"/>
          <w:b w:val="0"/>
          <w:color w:val="000000" w:themeColor="text1"/>
          <w:sz w:val="32"/>
          <w:szCs w:val="32"/>
          <w:lang w:eastAsia="zh-CN"/>
        </w:rPr>
        <w:t>全</w:t>
      </w:r>
      <w:r>
        <w:rPr>
          <w:rFonts w:hint="eastAsia" w:ascii="仿宋_GB2312" w:hAnsi="仿宋_GB2312" w:eastAsia="仿宋_GB2312" w:cs="仿宋_GB2312"/>
          <w:b w:val="0"/>
          <w:color w:val="000000" w:themeColor="text1"/>
          <w:sz w:val="32"/>
          <w:szCs w:val="32"/>
        </w:rPr>
        <w:t>投诉</w:t>
      </w:r>
      <w:r>
        <w:rPr>
          <w:rFonts w:hint="eastAsia" w:ascii="仿宋_GB2312" w:hAnsi="仿宋_GB2312" w:eastAsia="仿宋_GB2312" w:cs="仿宋_GB2312"/>
          <w:b w:val="0"/>
          <w:color w:val="000000" w:themeColor="text1"/>
          <w:sz w:val="32"/>
          <w:szCs w:val="32"/>
          <w:lang w:eastAsia="zh-CN"/>
        </w:rPr>
        <w:t>渠道</w:t>
      </w:r>
      <w:r>
        <w:rPr>
          <w:rFonts w:hint="eastAsia" w:ascii="仿宋_GB2312" w:hAnsi="仿宋_GB2312" w:eastAsia="仿宋_GB2312" w:cs="仿宋_GB2312"/>
          <w:b w:val="0"/>
          <w:color w:val="000000" w:themeColor="text1"/>
          <w:sz w:val="32"/>
          <w:szCs w:val="32"/>
        </w:rPr>
        <w:t>，对收到的各种投诉，及时查实，及时处理</w:t>
      </w:r>
      <w:r>
        <w:rPr>
          <w:rFonts w:hint="eastAsia" w:ascii="仿宋_GB2312" w:hAnsi="仿宋_GB2312" w:eastAsia="仿宋_GB2312" w:cs="仿宋_GB2312"/>
          <w:b w:val="0"/>
          <w:color w:val="auto"/>
          <w:sz w:val="32"/>
          <w:szCs w:val="32"/>
        </w:rPr>
        <w:t>。无发生因政务公开工作被追究责任的情况。</w:t>
      </w:r>
    </w:p>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0" w:afterAutospacing="0" w:line="520" w:lineRule="exact"/>
        <w:ind w:firstLine="640" w:firstLineChars="200"/>
        <w:jc w:val="left"/>
        <w:textAlignment w:val="auto"/>
        <w:rPr>
          <w:rFonts w:hint="eastAsia" w:ascii="仿宋_GB2312" w:hAnsi="仿宋_GB2312" w:eastAsia="仿宋_GB2312" w:cs="仿宋_GB2312"/>
          <w:b w:val="0"/>
          <w:color w:val="000000" w:themeColor="text1"/>
          <w:sz w:val="32"/>
          <w:szCs w:val="32"/>
          <w:lang w:val="en-US" w:eastAsia="zh-CN"/>
        </w:rPr>
      </w:pPr>
      <w:r>
        <w:rPr>
          <w:rFonts w:hint="eastAsia" w:ascii="仿宋_GB2312" w:hAnsi="仿宋_GB2312" w:eastAsia="仿宋_GB2312" w:cs="仿宋_GB2312"/>
          <w:b w:val="0"/>
          <w:color w:val="000000" w:themeColor="text1"/>
          <w:sz w:val="32"/>
          <w:szCs w:val="32"/>
        </w:rPr>
        <w:t>截止</w:t>
      </w:r>
      <w:r>
        <w:rPr>
          <w:rFonts w:hint="eastAsia" w:ascii="仿宋_GB2312" w:hAnsi="仿宋_GB2312" w:eastAsia="仿宋_GB2312" w:cs="仿宋_GB2312"/>
          <w:b w:val="0"/>
          <w:color w:val="000000" w:themeColor="text1"/>
          <w:sz w:val="32"/>
          <w:szCs w:val="32"/>
          <w:lang w:eastAsia="zh-CN"/>
        </w:rPr>
        <w:t>2021</w:t>
      </w:r>
      <w:r>
        <w:rPr>
          <w:rFonts w:hint="eastAsia" w:ascii="仿宋_GB2312" w:hAnsi="仿宋_GB2312" w:eastAsia="仿宋_GB2312" w:cs="仿宋_GB2312"/>
          <w:b w:val="0"/>
          <w:color w:val="000000" w:themeColor="text1"/>
          <w:sz w:val="32"/>
          <w:szCs w:val="32"/>
        </w:rPr>
        <w:t>年12月</w:t>
      </w:r>
      <w:r>
        <w:rPr>
          <w:rFonts w:hint="eastAsia" w:ascii="仿宋_GB2312" w:hAnsi="仿宋_GB2312" w:eastAsia="仿宋_GB2312" w:cs="仿宋_GB2312"/>
          <w:b w:val="0"/>
          <w:color w:val="000000" w:themeColor="text1"/>
          <w:sz w:val="32"/>
          <w:szCs w:val="32"/>
          <w:lang w:val="en-US" w:eastAsia="zh-CN"/>
        </w:rPr>
        <w:t>31</w:t>
      </w:r>
      <w:r>
        <w:rPr>
          <w:rFonts w:hint="eastAsia" w:ascii="仿宋_GB2312" w:hAnsi="仿宋_GB2312" w:eastAsia="仿宋_GB2312" w:cs="仿宋_GB2312"/>
          <w:b w:val="0"/>
          <w:color w:val="000000" w:themeColor="text1"/>
          <w:sz w:val="32"/>
          <w:szCs w:val="32"/>
        </w:rPr>
        <w:t>日，我局</w:t>
      </w:r>
      <w:r>
        <w:rPr>
          <w:rFonts w:hint="eastAsia" w:ascii="仿宋_GB2312" w:hAnsi="仿宋_GB2312" w:eastAsia="仿宋_GB2312" w:cs="仿宋_GB2312"/>
          <w:b w:val="0"/>
          <w:color w:val="333333"/>
          <w:sz w:val="32"/>
          <w:szCs w:val="32"/>
          <w:lang w:eastAsia="zh-CN"/>
        </w:rPr>
        <w:t>于</w:t>
      </w:r>
      <w:r>
        <w:rPr>
          <w:rFonts w:hint="eastAsia" w:ascii="仿宋_GB2312" w:hAnsi="仿宋_GB2312" w:eastAsia="仿宋_GB2312" w:cs="仿宋_GB2312"/>
          <w:b w:val="0"/>
          <w:color w:val="333333"/>
          <w:sz w:val="32"/>
          <w:szCs w:val="32"/>
        </w:rPr>
        <w:t>北仑政府信息公开网站主动公开</w:t>
      </w:r>
      <w:r>
        <w:rPr>
          <w:rFonts w:hint="eastAsia" w:ascii="仿宋_GB2312" w:hAnsi="仿宋_GB2312" w:eastAsia="仿宋_GB2312" w:cs="仿宋_GB2312"/>
          <w:b w:val="0"/>
          <w:color w:val="333333"/>
          <w:sz w:val="32"/>
          <w:szCs w:val="32"/>
          <w:lang w:eastAsia="zh-CN"/>
        </w:rPr>
        <w:t>政府信息</w:t>
      </w:r>
      <w:r>
        <w:rPr>
          <w:rFonts w:hint="eastAsia" w:ascii="仿宋_GB2312" w:hAnsi="仿宋_GB2312" w:eastAsia="仿宋_GB2312" w:cs="仿宋_GB2312"/>
          <w:b w:val="0"/>
          <w:color w:val="333333"/>
          <w:sz w:val="32"/>
          <w:szCs w:val="32"/>
        </w:rPr>
        <w:t>数</w:t>
      </w:r>
      <w:r>
        <w:rPr>
          <w:rFonts w:hint="eastAsia" w:ascii="仿宋_GB2312" w:hAnsi="仿宋_GB2312" w:eastAsia="仿宋_GB2312" w:cs="仿宋_GB2312"/>
          <w:b w:val="0"/>
          <w:color w:val="333333"/>
          <w:sz w:val="32"/>
          <w:szCs w:val="32"/>
          <w:lang w:eastAsia="zh-CN"/>
        </w:rPr>
        <w:t>共</w:t>
      </w:r>
      <w:r>
        <w:rPr>
          <w:rFonts w:hint="eastAsia" w:ascii="仿宋_GB2312" w:hAnsi="仿宋_GB2312" w:eastAsia="仿宋_GB2312" w:cs="仿宋_GB2312"/>
          <w:b w:val="0"/>
          <w:color w:val="333333"/>
          <w:sz w:val="32"/>
          <w:szCs w:val="32"/>
          <w:lang w:val="en-US" w:eastAsia="zh-CN"/>
        </w:rPr>
        <w:t>546</w:t>
      </w:r>
      <w:r>
        <w:rPr>
          <w:rFonts w:hint="eastAsia" w:ascii="仿宋_GB2312" w:hAnsi="仿宋_GB2312" w:eastAsia="仿宋_GB2312" w:cs="仿宋_GB2312"/>
          <w:b w:val="0"/>
          <w:color w:val="333333"/>
          <w:sz w:val="32"/>
          <w:szCs w:val="32"/>
        </w:rPr>
        <w:t>条</w:t>
      </w:r>
      <w:r>
        <w:rPr>
          <w:rFonts w:hint="eastAsia" w:ascii="仿宋_GB2312" w:hAnsi="仿宋_GB2312" w:eastAsia="仿宋_GB2312" w:cs="仿宋_GB2312"/>
          <w:b w:val="0"/>
          <w:color w:val="000000" w:themeColor="text1"/>
          <w:sz w:val="32"/>
          <w:szCs w:val="32"/>
          <w:highlight w:val="none"/>
          <w:lang w:val="en-US" w:eastAsia="zh-CN"/>
        </w:rPr>
        <w:t>，其中</w:t>
      </w:r>
      <w:r>
        <w:rPr>
          <w:rFonts w:hint="eastAsia" w:ascii="仿宋_GB2312" w:hAnsi="仿宋_GB2312" w:eastAsia="仿宋_GB2312" w:cs="仿宋_GB2312"/>
          <w:b w:val="0"/>
          <w:color w:val="333333"/>
          <w:sz w:val="32"/>
          <w:szCs w:val="32"/>
          <w:lang w:val="en-US" w:eastAsia="zh-CN"/>
        </w:rPr>
        <w:t>建议提案办理情况18条。</w:t>
      </w:r>
      <w:r>
        <w:rPr>
          <w:rFonts w:hint="eastAsia" w:ascii="仿宋_GB2312" w:hAnsi="仿宋_GB2312" w:eastAsia="仿宋_GB2312" w:cs="仿宋_GB2312"/>
          <w:b w:val="0"/>
          <w:color w:val="000000" w:themeColor="text1"/>
          <w:sz w:val="32"/>
          <w:szCs w:val="32"/>
          <w:highlight w:val="none"/>
        </w:rPr>
        <w:t>政</w:t>
      </w:r>
      <w:r>
        <w:rPr>
          <w:rFonts w:hint="eastAsia" w:ascii="仿宋_GB2312" w:hAnsi="仿宋_GB2312" w:eastAsia="仿宋_GB2312" w:cs="仿宋_GB2312"/>
          <w:b w:val="0"/>
          <w:color w:val="000000" w:themeColor="text1"/>
          <w:sz w:val="32"/>
          <w:szCs w:val="32"/>
        </w:rPr>
        <w:t>务微博</w:t>
      </w:r>
      <w:r>
        <w:rPr>
          <w:rFonts w:hint="eastAsia" w:ascii="仿宋_GB2312" w:hAnsi="仿宋_GB2312" w:eastAsia="仿宋_GB2312" w:cs="仿宋_GB2312"/>
          <w:b w:val="0"/>
          <w:color w:val="000000" w:themeColor="text1"/>
          <w:sz w:val="32"/>
          <w:szCs w:val="32"/>
          <w:lang w:eastAsia="zh-CN"/>
        </w:rPr>
        <w:t>主动</w:t>
      </w:r>
      <w:r>
        <w:rPr>
          <w:rFonts w:hint="eastAsia" w:ascii="仿宋_GB2312" w:hAnsi="仿宋_GB2312" w:eastAsia="仿宋_GB2312" w:cs="仿宋_GB2312"/>
          <w:b w:val="0"/>
          <w:color w:val="000000" w:themeColor="text1"/>
          <w:sz w:val="32"/>
          <w:szCs w:val="32"/>
        </w:rPr>
        <w:t>公开政府信息数</w:t>
      </w:r>
      <w:r>
        <w:rPr>
          <w:rFonts w:hint="eastAsia" w:ascii="仿宋_GB2312" w:hAnsi="仿宋_GB2312" w:eastAsia="仿宋_GB2312" w:cs="仿宋_GB2312"/>
          <w:b w:val="0"/>
          <w:color w:val="000000" w:themeColor="text1"/>
          <w:sz w:val="32"/>
          <w:szCs w:val="32"/>
          <w:lang w:val="en-US" w:eastAsia="zh-CN"/>
        </w:rPr>
        <w:t>108</w:t>
      </w:r>
      <w:r>
        <w:rPr>
          <w:rFonts w:hint="eastAsia" w:ascii="仿宋_GB2312" w:hAnsi="仿宋_GB2312" w:eastAsia="仿宋_GB2312" w:cs="仿宋_GB2312"/>
          <w:b w:val="0"/>
          <w:color w:val="000000" w:themeColor="text1"/>
          <w:sz w:val="32"/>
          <w:szCs w:val="32"/>
        </w:rPr>
        <w:t>条，政务微信</w:t>
      </w:r>
      <w:r>
        <w:rPr>
          <w:rFonts w:hint="eastAsia" w:ascii="仿宋_GB2312" w:hAnsi="仿宋_GB2312" w:eastAsia="仿宋_GB2312" w:cs="仿宋_GB2312"/>
          <w:b w:val="0"/>
          <w:color w:val="333333"/>
          <w:sz w:val="32"/>
          <w:szCs w:val="32"/>
        </w:rPr>
        <w:t>主动</w:t>
      </w:r>
      <w:r>
        <w:rPr>
          <w:rFonts w:hint="eastAsia" w:ascii="仿宋_GB2312" w:hAnsi="仿宋_GB2312" w:eastAsia="仿宋_GB2312" w:cs="仿宋_GB2312"/>
          <w:b w:val="0"/>
          <w:color w:val="000000" w:themeColor="text1"/>
          <w:sz w:val="32"/>
          <w:szCs w:val="32"/>
        </w:rPr>
        <w:t>公开政府信息数</w:t>
      </w:r>
      <w:r>
        <w:rPr>
          <w:rFonts w:hint="eastAsia" w:ascii="仿宋_GB2312" w:hAnsi="仿宋_GB2312" w:eastAsia="仿宋_GB2312" w:cs="仿宋_GB2312"/>
          <w:b w:val="0"/>
          <w:color w:val="000000" w:themeColor="text1"/>
          <w:sz w:val="32"/>
          <w:szCs w:val="32"/>
          <w:lang w:val="en-US" w:eastAsia="zh-CN"/>
        </w:rPr>
        <w:t>181</w:t>
      </w:r>
      <w:r>
        <w:rPr>
          <w:rFonts w:hint="eastAsia" w:ascii="仿宋_GB2312" w:hAnsi="仿宋_GB2312" w:eastAsia="仿宋_GB2312" w:cs="仿宋_GB2312"/>
          <w:b w:val="0"/>
          <w:color w:val="000000" w:themeColor="text1"/>
          <w:sz w:val="32"/>
          <w:szCs w:val="32"/>
        </w:rPr>
        <w:t>条。</w:t>
      </w:r>
      <w:bookmarkStart w:id="0" w:name="_GoBack"/>
      <w:bookmarkEnd w:id="0"/>
    </w:p>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560" w:lineRule="exact"/>
        <w:ind w:firstLine="640" w:firstLineChars="200"/>
        <w:jc w:val="left"/>
        <w:textAlignment w:val="auto"/>
        <w:outlineLvl w:val="0"/>
        <w:rPr>
          <w:rFonts w:hint="eastAsia" w:ascii="黑体" w:hAnsi="黑体" w:eastAsia="黑体" w:cs="黑体"/>
          <w:b w:val="0"/>
          <w:color w:val="000000" w:themeColor="text1"/>
          <w:sz w:val="32"/>
          <w:szCs w:val="32"/>
          <w:lang w:val="en-US" w:eastAsia="zh-CN"/>
        </w:rPr>
      </w:pPr>
      <w:r>
        <w:rPr>
          <w:rFonts w:hint="eastAsia" w:ascii="黑体" w:hAnsi="黑体" w:eastAsia="黑体" w:cs="黑体"/>
          <w:b w:val="0"/>
          <w:color w:val="000000" w:themeColor="text1"/>
          <w:sz w:val="32"/>
          <w:szCs w:val="32"/>
          <w:lang w:val="en-US" w:eastAsia="zh-CN"/>
        </w:rPr>
        <w:t>二、主动公开政府信息情况</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189"/>
        <w:gridCol w:w="2188"/>
        <w:gridCol w:w="2189"/>
        <w:gridCol w:w="21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single" w:color="auto" w:sz="8" w:space="0"/>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信息内容</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本年制发件数</w:t>
            </w:r>
          </w:p>
        </w:tc>
        <w:tc>
          <w:tcPr>
            <w:tcW w:w="2189" w:type="dxa"/>
            <w:tcBorders>
              <w:top w:val="single" w:color="auto" w:sz="8" w:space="0"/>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本年废止件数</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规章</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color w:val="000000" w:themeColor="text1"/>
                <w:lang w:val="en-US"/>
              </w:rPr>
            </w:pPr>
            <w:r>
              <w:rPr>
                <w:rFonts w:hint="eastAsia" w:ascii="宋体" w:hAnsi="宋体" w:eastAsia="宋体" w:cs="宋体"/>
                <w:color w:val="000000" w:themeColor="text1"/>
                <w:kern w:val="0"/>
                <w:sz w:val="20"/>
                <w:szCs w:val="20"/>
                <w:lang w:val="en-US" w:eastAsia="zh-CN" w:bidi="ar"/>
              </w:rPr>
              <w:t>0</w:t>
            </w:r>
          </w:p>
        </w:tc>
        <w:tc>
          <w:tcPr>
            <w:tcW w:w="2189" w:type="dxa"/>
            <w:tcBorders>
              <w:top w:val="nil"/>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color w:val="000000" w:themeColor="text1"/>
                <w:lang w:val="en-US"/>
              </w:rPr>
            </w:pPr>
            <w:r>
              <w:rPr>
                <w:rFonts w:hint="eastAsia" w:ascii="宋体" w:hAnsi="宋体" w:eastAsia="宋体" w:cs="宋体"/>
                <w:color w:val="000000" w:themeColor="text1"/>
                <w:kern w:val="0"/>
                <w:sz w:val="20"/>
                <w:szCs w:val="20"/>
                <w:lang w:val="en-US" w:eastAsia="zh-CN" w:bidi="ar"/>
              </w:rPr>
              <w:t>0</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color w:val="000000" w:themeColor="text1"/>
                <w:lang w:val="en-US"/>
              </w:rPr>
            </w:pPr>
            <w:r>
              <w:rPr>
                <w:rFonts w:hint="eastAsia" w:ascii="Calibri" w:hAnsi="Calibri" w:eastAsia="宋体" w:cs="Calibri"/>
                <w:color w:val="000000" w:themeColor="text1"/>
                <w:kern w:val="2"/>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行政规范性文件</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color w:val="000000" w:themeColor="text1"/>
                <w:lang w:val="en-US"/>
              </w:rPr>
            </w:pPr>
            <w:r>
              <w:rPr>
                <w:rFonts w:hint="eastAsia" w:ascii="宋体" w:hAnsi="宋体" w:eastAsia="宋体" w:cs="宋体"/>
                <w:color w:val="000000" w:themeColor="text1"/>
                <w:kern w:val="0"/>
                <w:sz w:val="20"/>
                <w:szCs w:val="20"/>
                <w:lang w:val="en-US" w:eastAsia="zh-CN" w:bidi="ar"/>
              </w:rPr>
              <w:t>0</w:t>
            </w:r>
          </w:p>
        </w:tc>
        <w:tc>
          <w:tcPr>
            <w:tcW w:w="2189" w:type="dxa"/>
            <w:tcBorders>
              <w:top w:val="nil"/>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color w:val="000000" w:themeColor="text1"/>
                <w:lang w:val="en-US"/>
              </w:rPr>
            </w:pPr>
            <w:r>
              <w:rPr>
                <w:rFonts w:hint="eastAsia" w:ascii="宋体" w:hAnsi="宋体" w:eastAsia="宋体" w:cs="宋体"/>
                <w:color w:val="000000" w:themeColor="text1"/>
                <w:kern w:val="0"/>
                <w:sz w:val="20"/>
                <w:szCs w:val="20"/>
                <w:lang w:val="en-US" w:eastAsia="zh-CN" w:bidi="ar"/>
              </w:rPr>
              <w:t>0</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color w:val="000000" w:themeColor="text1"/>
                <w:lang w:val="en-US"/>
              </w:rPr>
            </w:pPr>
            <w:r>
              <w:rPr>
                <w:rFonts w:hint="eastAsia" w:ascii="Calibri" w:hAnsi="Calibri" w:eastAsia="宋体" w:cs="Calibri"/>
                <w:color w:val="000000" w:themeColor="text1"/>
                <w:kern w:val="2"/>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信息内容</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8" w:space="0"/>
              <w:left w:val="single" w:color="auto" w:sz="8" w:space="0"/>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行政许可</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color w:val="000000" w:themeColor="text1"/>
                <w:lang w:val="en-US"/>
              </w:rPr>
            </w:pPr>
            <w:r>
              <w:rPr>
                <w:rFonts w:hint="eastAsia" w:ascii="宋体" w:hAnsi="宋体" w:eastAsia="宋体" w:cs="宋体"/>
                <w:color w:val="000000" w:themeColor="text1"/>
                <w:kern w:val="0"/>
                <w:sz w:val="20"/>
                <w:szCs w:val="20"/>
                <w:lang w:val="en-US" w:eastAsia="zh-CN" w:bidi="ar"/>
              </w:rPr>
              <w:t>1621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信息内容</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行政处罚</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color w:val="000000" w:themeColor="text1"/>
                <w:lang w:val="en-US"/>
              </w:rPr>
            </w:pPr>
            <w:r>
              <w:rPr>
                <w:rFonts w:hint="eastAsia" w:ascii="宋体" w:hAnsi="宋体" w:eastAsia="宋体" w:cs="宋体"/>
                <w:color w:val="000000" w:themeColor="text1"/>
                <w:kern w:val="0"/>
                <w:sz w:val="20"/>
                <w:szCs w:val="20"/>
                <w:lang w:val="en-US" w:eastAsia="zh-CN" w:bidi="ar"/>
              </w:rPr>
              <w:t>2185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行政强制</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color w:val="000000" w:themeColor="text1"/>
                <w:lang w:val="en-US"/>
              </w:rPr>
            </w:pPr>
            <w:r>
              <w:rPr>
                <w:rFonts w:hint="eastAsia" w:ascii="宋体" w:hAnsi="宋体" w:eastAsia="宋体" w:cs="宋体"/>
                <w:color w:val="000000" w:themeColor="text1"/>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信息内容</w:t>
            </w:r>
          </w:p>
        </w:tc>
        <w:tc>
          <w:tcPr>
            <w:tcW w:w="6565" w:type="dxa"/>
            <w:gridSpan w:val="3"/>
            <w:tcBorders>
              <w:top w:val="nil"/>
              <w:left w:val="nil"/>
              <w:bottom w:val="single" w:color="auto" w:sz="8" w:space="0"/>
              <w:right w:val="single" w:color="000000"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color w:val="000000" w:themeColor="text1"/>
              </w:rPr>
            </w:pPr>
            <w:r>
              <w:rPr>
                <w:rFonts w:hint="eastAsia" w:ascii="宋体" w:hAnsi="宋体" w:eastAsia="宋体" w:cs="宋体"/>
                <w:color w:val="000000" w:themeColor="text1"/>
                <w:kern w:val="0"/>
                <w:sz w:val="20"/>
                <w:szCs w:val="20"/>
                <w:lang w:val="en-US" w:eastAsia="zh-CN" w:bidi="ar"/>
              </w:rPr>
              <w:t>行政事业性收费</w:t>
            </w:r>
          </w:p>
        </w:tc>
        <w:tc>
          <w:tcPr>
            <w:tcW w:w="6565" w:type="dxa"/>
            <w:gridSpan w:val="3"/>
            <w:tcBorders>
              <w:top w:val="nil"/>
              <w:left w:val="nil"/>
              <w:bottom w:val="single" w:color="auto" w:sz="8" w:space="0"/>
              <w:right w:val="single" w:color="000000"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ascii="宋体" w:hAnsi="宋体" w:eastAsia="宋体" w:cs="宋体"/>
          <w:b/>
          <w:color w:val="333333"/>
          <w:sz w:val="24"/>
          <w:szCs w:val="24"/>
        </w:rPr>
      </w:pPr>
    </w:p>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560" w:lineRule="exact"/>
        <w:ind w:firstLine="640" w:firstLineChars="200"/>
        <w:jc w:val="left"/>
        <w:textAlignment w:val="auto"/>
        <w:outlineLvl w:val="0"/>
        <w:rPr>
          <w:rFonts w:hint="eastAsia" w:ascii="黑体" w:hAnsi="黑体" w:eastAsia="黑体" w:cs="黑体"/>
          <w:b w:val="0"/>
          <w:color w:val="000000" w:themeColor="text1"/>
          <w:sz w:val="32"/>
          <w:szCs w:val="32"/>
          <w:lang w:val="en-US" w:eastAsia="zh-CN"/>
        </w:rPr>
      </w:pPr>
      <w:r>
        <w:rPr>
          <w:rFonts w:hint="eastAsia" w:ascii="黑体" w:hAnsi="黑体" w:eastAsia="黑体" w:cs="黑体"/>
          <w:b w:val="0"/>
          <w:color w:val="000000" w:themeColor="text1"/>
          <w:sz w:val="32"/>
          <w:szCs w:val="32"/>
          <w:lang w:val="en-US" w:eastAsia="zh-CN"/>
        </w:rPr>
        <w:t>三、收到和处理政府信息公开申请情况</w:t>
      </w:r>
    </w:p>
    <w:tbl>
      <w:tblPr>
        <w:tblStyle w:val="5"/>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
      <w:tblGrid>
        <w:gridCol w:w="682"/>
        <w:gridCol w:w="833"/>
        <w:gridCol w:w="2956"/>
        <w:gridCol w:w="619"/>
        <w:gridCol w:w="619"/>
        <w:gridCol w:w="619"/>
        <w:gridCol w:w="620"/>
        <w:gridCol w:w="619"/>
        <w:gridCol w:w="619"/>
        <w:gridCol w:w="61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restart"/>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楷体" w:hAnsi="楷体" w:eastAsia="楷体" w:cs="楷体"/>
                <w:color w:val="000000" w:themeColor="text1"/>
                <w:kern w:val="0"/>
                <w:sz w:val="20"/>
                <w:szCs w:val="20"/>
                <w:lang w:val="en-US" w:eastAsia="zh-CN" w:bidi="ar"/>
              </w:rPr>
              <w:t>（本列数据的勾稽关系为：第一项加第二项之和，等于第三项加第四项之和）</w:t>
            </w:r>
          </w:p>
        </w:tc>
        <w:tc>
          <w:tcPr>
            <w:tcW w:w="4334" w:type="dxa"/>
            <w:gridSpan w:val="7"/>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color w:val="000000" w:themeColor="text1"/>
              </w:rPr>
            </w:pPr>
            <w:r>
              <w:rPr>
                <w:rFonts w:hint="eastAsia" w:ascii="宋体" w:hAnsi="宋体" w:eastAsia="宋体" w:cs="宋体"/>
                <w:color w:val="000000" w:themeColor="text1"/>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619" w:type="dxa"/>
            <w:vMerge w:val="restart"/>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color w:val="000000" w:themeColor="text1"/>
              </w:rPr>
            </w:pPr>
            <w:r>
              <w:rPr>
                <w:rFonts w:hint="eastAsia" w:ascii="宋体" w:hAnsi="宋体" w:eastAsia="宋体" w:cs="宋体"/>
                <w:color w:val="000000" w:themeColor="text1"/>
                <w:kern w:val="0"/>
                <w:sz w:val="20"/>
                <w:szCs w:val="20"/>
                <w:lang w:val="en-US" w:eastAsia="zh-CN" w:bidi="ar"/>
              </w:rPr>
              <w:t>自然人</w:t>
            </w:r>
          </w:p>
        </w:tc>
        <w:tc>
          <w:tcPr>
            <w:tcW w:w="3096" w:type="dxa"/>
            <w:gridSpan w:val="5"/>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color w:val="000000" w:themeColor="text1"/>
              </w:rPr>
            </w:pPr>
            <w:r>
              <w:rPr>
                <w:rFonts w:hint="eastAsia" w:ascii="宋体" w:hAnsi="宋体" w:eastAsia="宋体" w:cs="宋体"/>
                <w:color w:val="000000" w:themeColor="text1"/>
                <w:kern w:val="0"/>
                <w:sz w:val="20"/>
                <w:szCs w:val="20"/>
                <w:lang w:val="en-US" w:eastAsia="zh-CN" w:bidi="ar"/>
              </w:rPr>
              <w:t>法人或其他组织</w:t>
            </w:r>
          </w:p>
        </w:tc>
        <w:tc>
          <w:tcPr>
            <w:tcW w:w="619" w:type="dxa"/>
            <w:vMerge w:val="restart"/>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color w:val="000000" w:themeColor="text1"/>
              </w:rPr>
            </w:pPr>
            <w:r>
              <w:rPr>
                <w:rFonts w:hint="eastAsia" w:ascii="宋体" w:hAnsi="宋体" w:eastAsia="宋体" w:cs="宋体"/>
                <w:color w:val="000000" w:themeColor="text1"/>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619" w:type="dxa"/>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color w:val="000000" w:themeColor="text1"/>
              </w:rPr>
            </w:pPr>
            <w:r>
              <w:rPr>
                <w:rFonts w:hint="eastAsia" w:ascii="宋体" w:hAnsi="宋体" w:eastAsia="宋体" w:cs="宋体"/>
                <w:color w:val="000000" w:themeColor="text1"/>
                <w:kern w:val="0"/>
                <w:sz w:val="20"/>
                <w:szCs w:val="20"/>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color w:val="000000" w:themeColor="text1"/>
              </w:rPr>
            </w:pPr>
            <w:r>
              <w:rPr>
                <w:rFonts w:hint="eastAsia" w:ascii="宋体" w:hAnsi="宋体" w:eastAsia="宋体" w:cs="宋体"/>
                <w:color w:val="000000" w:themeColor="text1"/>
                <w:kern w:val="0"/>
                <w:sz w:val="20"/>
                <w:szCs w:val="20"/>
                <w:lang w:val="en-US" w:eastAsia="zh-CN" w:bidi="ar"/>
              </w:rPr>
              <w:t>企业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color w:val="000000" w:themeColor="text1"/>
              </w:rPr>
            </w:pPr>
            <w:r>
              <w:rPr>
                <w:rFonts w:hint="eastAsia" w:ascii="宋体" w:hAnsi="宋体" w:eastAsia="宋体" w:cs="宋体"/>
                <w:color w:val="000000" w:themeColor="text1"/>
                <w:kern w:val="0"/>
                <w:sz w:val="20"/>
                <w:szCs w:val="20"/>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color w:val="000000" w:themeColor="text1"/>
              </w:rPr>
            </w:pPr>
            <w:r>
              <w:rPr>
                <w:rFonts w:hint="eastAsia" w:ascii="宋体" w:hAnsi="宋体" w:eastAsia="宋体" w:cs="宋体"/>
                <w:color w:val="000000" w:themeColor="text1"/>
                <w:kern w:val="0"/>
                <w:sz w:val="20"/>
                <w:szCs w:val="20"/>
                <w:lang w:val="en-US" w:eastAsia="zh-CN" w:bidi="ar"/>
              </w:rPr>
              <w:t>机构</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color w:val="000000" w:themeColor="text1"/>
              </w:rPr>
            </w:pPr>
            <w:r>
              <w:rPr>
                <w:rFonts w:hint="eastAsia" w:ascii="宋体" w:hAnsi="宋体" w:eastAsia="宋体" w:cs="宋体"/>
                <w:color w:val="000000" w:themeColor="text1"/>
                <w:kern w:val="0"/>
                <w:sz w:val="20"/>
                <w:szCs w:val="20"/>
                <w:lang w:val="en-US" w:eastAsia="zh-CN" w:bidi="ar"/>
              </w:rPr>
              <w:t>社会公益组织</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color w:val="000000" w:themeColor="text1"/>
              </w:rPr>
            </w:pPr>
            <w:r>
              <w:rPr>
                <w:rFonts w:hint="eastAsia" w:ascii="宋体" w:hAnsi="宋体" w:eastAsia="宋体" w:cs="宋体"/>
                <w:color w:val="000000" w:themeColor="text1"/>
                <w:kern w:val="0"/>
                <w:sz w:val="20"/>
                <w:szCs w:val="20"/>
                <w:lang w:val="en-US" w:eastAsia="zh-CN" w:bidi="ar"/>
              </w:rPr>
              <w:t>法律服务机构</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color w:val="000000" w:themeColor="text1"/>
              </w:rPr>
            </w:pPr>
            <w:r>
              <w:rPr>
                <w:rFonts w:hint="eastAsia" w:ascii="宋体" w:hAnsi="宋体" w:eastAsia="宋体" w:cs="宋体"/>
                <w:color w:val="000000" w:themeColor="text1"/>
                <w:kern w:val="0"/>
                <w:sz w:val="20"/>
                <w:szCs w:val="20"/>
                <w:lang w:val="en-US" w:eastAsia="zh-CN" w:bidi="ar"/>
              </w:rPr>
              <w:t>其他</w:t>
            </w:r>
          </w:p>
        </w:tc>
        <w:tc>
          <w:tcPr>
            <w:tcW w:w="619" w:type="dxa"/>
            <w:vMerge w:val="continue"/>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一、本年新收政府信息公开申请数量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二、上年结转政府信息公开申请数量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restart"/>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三、本年度办理结果</w:t>
            </w: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（一）予以公开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（二）部分公开</w:t>
            </w:r>
            <w:r>
              <w:rPr>
                <w:rFonts w:hint="eastAsia" w:ascii="楷体" w:hAnsi="楷体" w:eastAsia="楷体" w:cs="楷体"/>
                <w:color w:val="000000" w:themeColor="text1"/>
                <w:kern w:val="0"/>
                <w:sz w:val="20"/>
                <w:szCs w:val="20"/>
                <w:lang w:val="en-US" w:eastAsia="zh-CN" w:bidi="ar"/>
              </w:rPr>
              <w:t>（区分处理的，只计这一情形，不计其他情形）</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（三）不予公开</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1.属于国家秘密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2.其他法律行政法规禁止公开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3.危及“三安全一稳定”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4.保护第三方合法权益</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5.属于三类内部事务信息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6.属于四类过程性信息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7.属于行政执法案卷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8.属于行政查询事项</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（四）无法提供</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1.本机关不掌握相关政府信息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2.没有现成信息需要另行制作</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3.补正后申请内容仍不明确</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（五）不予处理</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1.信访举报投诉类申请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2.重复申请</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3.要求提供公开出版物</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4.无正当理由大量反复申请</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779" w:hRule="atLeast"/>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2956"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color w:val="000000" w:themeColor="text1"/>
              </w:rPr>
            </w:pPr>
            <w:r>
              <w:rPr>
                <w:rFonts w:hint="eastAsia" w:ascii="宋体" w:hAnsi="宋体" w:eastAsia="宋体" w:cs="宋体"/>
                <w:color w:val="000000" w:themeColor="text1"/>
                <w:kern w:val="0"/>
                <w:sz w:val="20"/>
                <w:szCs w:val="20"/>
                <w:lang w:val="en-US" w:eastAsia="zh-CN" w:bidi="ar"/>
              </w:rPr>
              <w:t>5.要求行政机关确认或重新出具已获取信息</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restart"/>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（六）其他处理</w:t>
            </w: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color w:val="000000" w:themeColor="text1"/>
              </w:rPr>
            </w:pPr>
            <w:r>
              <w:rPr>
                <w:rFonts w:hint="eastAsia" w:ascii="宋体" w:hAnsi="宋体" w:eastAsia="宋体" w:cs="宋体"/>
                <w:color w:val="000000" w:themeColor="text1"/>
                <w:kern w:val="0"/>
                <w:sz w:val="20"/>
                <w:szCs w:val="20"/>
                <w:lang w:val="en-US" w:eastAsia="zh-CN" w:bidi="ar"/>
              </w:rPr>
              <w:t>1.申请人无正当理由逾期不补正、行政机关不再处理其政府信息公开申请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color w:val="000000" w:themeColor="text1"/>
              </w:rPr>
            </w:pPr>
            <w:r>
              <w:rPr>
                <w:rFonts w:hint="eastAsia" w:ascii="宋体" w:hAnsi="宋体" w:eastAsia="宋体" w:cs="宋体"/>
                <w:color w:val="000000" w:themeColor="text1"/>
                <w:kern w:val="0"/>
                <w:sz w:val="20"/>
                <w:szCs w:val="20"/>
                <w:lang w:val="en-US" w:eastAsia="zh-CN" w:bidi="ar"/>
              </w:rPr>
              <w:t>2.申请人逾期未按收费通知要求缴纳费用、行政机关不再处理其政府信息公开申请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3.其他</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（七）总计</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color w:val="000000" w:themeColor="text1"/>
              </w:rPr>
            </w:pPr>
            <w:r>
              <w:rPr>
                <w:rFonts w:hint="eastAsia" w:ascii="Calibri" w:hAnsi="Calibri" w:eastAsia="宋体" w:cs="Calibri"/>
                <w:color w:val="000000" w:themeColor="text1"/>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color w:val="000000" w:themeColor="text1"/>
              </w:rPr>
            </w:pPr>
            <w:r>
              <w:rPr>
                <w:rFonts w:hint="eastAsia" w:ascii="宋体" w:hAnsi="宋体" w:eastAsia="宋体" w:cs="宋体"/>
                <w:color w:val="000000" w:themeColor="text1"/>
                <w:kern w:val="0"/>
                <w:sz w:val="20"/>
                <w:szCs w:val="20"/>
                <w:lang w:val="en-US" w:eastAsia="zh-CN" w:bidi="ar"/>
              </w:rPr>
              <w:t>四、结转下年度继续办理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color w:val="000000" w:themeColor="text1"/>
                <w:lang w:val="en-US"/>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color w:val="000000" w:themeColor="text1"/>
                <w:lang w:val="en-US"/>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color w:val="000000" w:themeColor="text1"/>
                <w:lang w:val="en-US"/>
              </w:rPr>
            </w:pPr>
            <w:r>
              <w:rPr>
                <w:rFonts w:hint="eastAsia" w:ascii="Calibri" w:hAnsi="Calibri" w:eastAsia="宋体" w:cs="Calibri"/>
                <w:color w:val="000000" w:themeColor="text1"/>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color w:val="000000" w:themeColor="text1"/>
                <w:lang w:val="en-US"/>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color w:val="000000" w:themeColor="text1"/>
                <w:lang w:val="en-US"/>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color w:val="000000" w:themeColor="text1"/>
                <w:lang w:val="en-US"/>
              </w:rPr>
            </w:pPr>
            <w:r>
              <w:rPr>
                <w:rFonts w:hint="eastAsia" w:ascii="Calibri" w:hAnsi="Calibri" w:eastAsia="宋体" w:cs="Calibri"/>
                <w:color w:val="000000" w:themeColor="text1"/>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宋体" w:hAnsi="宋体" w:eastAsia="宋体" w:cs="宋体"/>
                <w:color w:val="000000" w:themeColor="text1"/>
                <w:sz w:val="21"/>
                <w:szCs w:val="21"/>
                <w:lang w:val="en-US"/>
              </w:rPr>
            </w:pPr>
            <w:r>
              <w:rPr>
                <w:rFonts w:hint="eastAsia" w:ascii="Calibri" w:hAnsi="Calibri" w:eastAsia="宋体" w:cs="Calibri"/>
                <w:color w:val="000000" w:themeColor="text1"/>
                <w:kern w:val="0"/>
                <w:sz w:val="20"/>
                <w:szCs w:val="20"/>
                <w:lang w:val="en-US" w:eastAsia="zh-CN" w:bidi="ar"/>
              </w:rPr>
              <w:t>0</w:t>
            </w:r>
          </w:p>
        </w:tc>
      </w:tr>
    </w:tbl>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560" w:lineRule="exact"/>
        <w:ind w:firstLine="640" w:firstLineChars="200"/>
        <w:jc w:val="left"/>
        <w:textAlignment w:val="auto"/>
        <w:outlineLvl w:val="0"/>
        <w:rPr>
          <w:rFonts w:hint="eastAsia" w:ascii="黑体" w:hAnsi="黑体" w:eastAsia="黑体" w:cs="黑体"/>
          <w:b w:val="0"/>
          <w:color w:val="000000" w:themeColor="text1"/>
          <w:sz w:val="32"/>
          <w:szCs w:val="32"/>
          <w:lang w:val="en-US" w:eastAsia="zh-CN"/>
        </w:rPr>
      </w:pPr>
      <w:r>
        <w:rPr>
          <w:rFonts w:hint="eastAsia" w:ascii="黑体" w:hAnsi="黑体" w:eastAsia="黑体" w:cs="黑体"/>
          <w:b w:val="0"/>
          <w:color w:val="000000" w:themeColor="text1"/>
          <w:sz w:val="32"/>
          <w:szCs w:val="32"/>
          <w:lang w:val="en-US" w:eastAsia="zh-CN"/>
        </w:rPr>
        <w:t>四、政府信息公开行政复议、行政诉讼情况</w:t>
      </w:r>
    </w:p>
    <w:tbl>
      <w:tblPr>
        <w:tblStyle w:val="5"/>
        <w:tblW w:w="8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590"/>
        <w:gridCol w:w="590"/>
        <w:gridCol w:w="590"/>
        <w:gridCol w:w="590"/>
        <w:gridCol w:w="590"/>
        <w:gridCol w:w="590"/>
        <w:gridCol w:w="591"/>
        <w:gridCol w:w="590"/>
        <w:gridCol w:w="591"/>
        <w:gridCol w:w="591"/>
        <w:gridCol w:w="591"/>
        <w:gridCol w:w="591"/>
        <w:gridCol w:w="591"/>
        <w:gridCol w:w="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5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行政复议</w:t>
            </w:r>
          </w:p>
        </w:tc>
        <w:tc>
          <w:tcPr>
            <w:tcW w:w="5906"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结果维持</w:t>
            </w:r>
          </w:p>
        </w:tc>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结果</w:t>
            </w:r>
            <w:r>
              <w:rPr>
                <w:rFonts w:hint="eastAsia" w:ascii="宋体" w:hAnsi="宋体" w:eastAsia="宋体" w:cs="宋体"/>
                <w:color w:val="000000" w:themeColor="text1"/>
                <w:kern w:val="0"/>
                <w:sz w:val="20"/>
                <w:szCs w:val="20"/>
                <w:lang w:val="en-US" w:eastAsia="zh-CN" w:bidi="ar"/>
              </w:rPr>
              <w:br w:type="textWrapping"/>
            </w:r>
            <w:r>
              <w:rPr>
                <w:rFonts w:hint="eastAsia" w:ascii="宋体" w:hAnsi="宋体" w:eastAsia="宋体" w:cs="宋体"/>
                <w:color w:val="000000" w:themeColor="text1"/>
                <w:kern w:val="0"/>
                <w:sz w:val="20"/>
                <w:szCs w:val="20"/>
                <w:lang w:val="en-US" w:eastAsia="zh-CN" w:bidi="ar"/>
              </w:rPr>
              <w:t>纠正</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其他</w:t>
            </w:r>
            <w:r>
              <w:rPr>
                <w:rFonts w:hint="eastAsia" w:ascii="宋体" w:hAnsi="宋体" w:eastAsia="宋体" w:cs="宋体"/>
                <w:color w:val="000000" w:themeColor="text1"/>
                <w:kern w:val="0"/>
                <w:sz w:val="20"/>
                <w:szCs w:val="20"/>
                <w:lang w:val="en-US" w:eastAsia="zh-CN" w:bidi="ar"/>
              </w:rPr>
              <w:br w:type="textWrapping"/>
            </w:r>
            <w:r>
              <w:rPr>
                <w:rFonts w:hint="eastAsia" w:ascii="宋体" w:hAnsi="宋体" w:eastAsia="宋体" w:cs="宋体"/>
                <w:color w:val="000000" w:themeColor="text1"/>
                <w:kern w:val="0"/>
                <w:sz w:val="20"/>
                <w:szCs w:val="20"/>
                <w:lang w:val="en-US" w:eastAsia="zh-CN" w:bidi="ar"/>
              </w:rPr>
              <w:t>结果</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尚未</w:t>
            </w:r>
            <w:r>
              <w:rPr>
                <w:rFonts w:hint="eastAsia" w:ascii="宋体" w:hAnsi="宋体" w:eastAsia="宋体" w:cs="宋体"/>
                <w:color w:val="000000" w:themeColor="text1"/>
                <w:kern w:val="0"/>
                <w:sz w:val="20"/>
                <w:szCs w:val="20"/>
                <w:lang w:val="en-US" w:eastAsia="zh-CN" w:bidi="ar"/>
              </w:rPr>
              <w:br w:type="textWrapping"/>
            </w:r>
            <w:r>
              <w:rPr>
                <w:rFonts w:hint="eastAsia" w:ascii="宋体" w:hAnsi="宋体" w:eastAsia="宋体" w:cs="宋体"/>
                <w:color w:val="000000" w:themeColor="text1"/>
                <w:kern w:val="0"/>
                <w:sz w:val="20"/>
                <w:szCs w:val="20"/>
                <w:lang w:val="en-US" w:eastAsia="zh-CN" w:bidi="ar"/>
              </w:rPr>
              <w:t>审结</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总计</w:t>
            </w:r>
          </w:p>
        </w:tc>
        <w:tc>
          <w:tcPr>
            <w:tcW w:w="29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未经复议直接起诉</w:t>
            </w:r>
          </w:p>
        </w:tc>
        <w:tc>
          <w:tcPr>
            <w:tcW w:w="295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000000" w:themeColor="text1"/>
                <w:sz w:val="21"/>
                <w:szCs w:val="21"/>
              </w:rPr>
            </w:pPr>
          </w:p>
        </w:tc>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000000" w:themeColor="text1"/>
                <w:sz w:val="21"/>
                <w:szCs w:val="21"/>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000000" w:themeColor="text1"/>
                <w:sz w:val="21"/>
                <w:szCs w:val="21"/>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000000" w:themeColor="text1"/>
                <w:sz w:val="21"/>
                <w:szCs w:val="21"/>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000000" w:themeColor="text1"/>
                <w:sz w:val="21"/>
                <w:szCs w:val="21"/>
              </w:rPr>
            </w:pP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结果</w:t>
            </w:r>
            <w:r>
              <w:rPr>
                <w:rFonts w:hint="eastAsia" w:ascii="宋体" w:hAnsi="宋体" w:eastAsia="宋体" w:cs="宋体"/>
                <w:color w:val="000000" w:themeColor="text1"/>
                <w:kern w:val="0"/>
                <w:sz w:val="20"/>
                <w:szCs w:val="20"/>
                <w:lang w:val="en-US" w:eastAsia="zh-CN" w:bidi="ar"/>
              </w:rPr>
              <w:br w:type="textWrapping"/>
            </w:r>
            <w:r>
              <w:rPr>
                <w:rFonts w:hint="eastAsia" w:ascii="宋体" w:hAnsi="宋体" w:eastAsia="宋体" w:cs="宋体"/>
                <w:color w:val="000000" w:themeColor="text1"/>
                <w:kern w:val="0"/>
                <w:sz w:val="20"/>
                <w:szCs w:val="20"/>
                <w:lang w:val="en-US" w:eastAsia="zh-CN" w:bidi="ar"/>
              </w:rPr>
              <w:t>维持</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结果</w:t>
            </w:r>
            <w:r>
              <w:rPr>
                <w:rFonts w:hint="eastAsia" w:ascii="宋体" w:hAnsi="宋体" w:eastAsia="宋体" w:cs="宋体"/>
                <w:color w:val="000000" w:themeColor="text1"/>
                <w:kern w:val="0"/>
                <w:sz w:val="20"/>
                <w:szCs w:val="20"/>
                <w:lang w:val="en-US" w:eastAsia="zh-CN" w:bidi="ar"/>
              </w:rPr>
              <w:br w:type="textWrapping"/>
            </w:r>
            <w:r>
              <w:rPr>
                <w:rFonts w:hint="eastAsia" w:ascii="宋体" w:hAnsi="宋体" w:eastAsia="宋体" w:cs="宋体"/>
                <w:color w:val="000000" w:themeColor="text1"/>
                <w:kern w:val="0"/>
                <w:sz w:val="20"/>
                <w:szCs w:val="20"/>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其他</w:t>
            </w:r>
            <w:r>
              <w:rPr>
                <w:rFonts w:hint="eastAsia" w:ascii="宋体" w:hAnsi="宋体" w:eastAsia="宋体" w:cs="宋体"/>
                <w:color w:val="000000" w:themeColor="text1"/>
                <w:kern w:val="0"/>
                <w:sz w:val="20"/>
                <w:szCs w:val="20"/>
                <w:lang w:val="en-US" w:eastAsia="zh-CN" w:bidi="ar"/>
              </w:rPr>
              <w:br w:type="textWrapping"/>
            </w:r>
            <w:r>
              <w:rPr>
                <w:rFonts w:hint="eastAsia" w:ascii="宋体" w:hAnsi="宋体" w:eastAsia="宋体" w:cs="宋体"/>
                <w:color w:val="000000" w:themeColor="text1"/>
                <w:kern w:val="0"/>
                <w:sz w:val="20"/>
                <w:szCs w:val="20"/>
                <w:lang w:val="en-US" w:eastAsia="zh-CN" w:bidi="ar"/>
              </w:rPr>
              <w:t>结果</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尚未</w:t>
            </w:r>
            <w:r>
              <w:rPr>
                <w:rFonts w:hint="eastAsia" w:ascii="宋体" w:hAnsi="宋体" w:eastAsia="宋体" w:cs="宋体"/>
                <w:color w:val="000000" w:themeColor="text1"/>
                <w:kern w:val="0"/>
                <w:sz w:val="20"/>
                <w:szCs w:val="20"/>
                <w:lang w:val="en-US" w:eastAsia="zh-CN" w:bidi="ar"/>
              </w:rPr>
              <w:br w:type="textWrapping"/>
            </w:r>
            <w:r>
              <w:rPr>
                <w:rFonts w:hint="eastAsia" w:ascii="宋体" w:hAnsi="宋体" w:eastAsia="宋体" w:cs="宋体"/>
                <w:color w:val="000000" w:themeColor="text1"/>
                <w:kern w:val="0"/>
                <w:sz w:val="20"/>
                <w:szCs w:val="20"/>
                <w:lang w:val="en-US" w:eastAsia="zh-CN" w:bidi="ar"/>
              </w:rPr>
              <w:t>审结</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总计</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结果</w:t>
            </w:r>
            <w:r>
              <w:rPr>
                <w:rFonts w:hint="eastAsia" w:ascii="宋体" w:hAnsi="宋体" w:eastAsia="宋体" w:cs="宋体"/>
                <w:color w:val="000000" w:themeColor="text1"/>
                <w:kern w:val="0"/>
                <w:sz w:val="20"/>
                <w:szCs w:val="20"/>
                <w:lang w:val="en-US" w:eastAsia="zh-CN" w:bidi="ar"/>
              </w:rPr>
              <w:br w:type="textWrapping"/>
            </w:r>
            <w:r>
              <w:rPr>
                <w:rFonts w:hint="eastAsia" w:ascii="宋体" w:hAnsi="宋体" w:eastAsia="宋体" w:cs="宋体"/>
                <w:color w:val="000000" w:themeColor="text1"/>
                <w:kern w:val="0"/>
                <w:sz w:val="20"/>
                <w:szCs w:val="20"/>
                <w:lang w:val="en-US" w:eastAsia="zh-CN" w:bidi="ar"/>
              </w:rPr>
              <w:t>维持</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结果</w:t>
            </w:r>
            <w:r>
              <w:rPr>
                <w:rFonts w:hint="eastAsia" w:ascii="宋体" w:hAnsi="宋体" w:eastAsia="宋体" w:cs="宋体"/>
                <w:color w:val="000000" w:themeColor="text1"/>
                <w:kern w:val="0"/>
                <w:sz w:val="20"/>
                <w:szCs w:val="20"/>
                <w:lang w:val="en-US" w:eastAsia="zh-CN" w:bidi="ar"/>
              </w:rPr>
              <w:br w:type="textWrapping"/>
            </w:r>
            <w:r>
              <w:rPr>
                <w:rFonts w:hint="eastAsia" w:ascii="宋体" w:hAnsi="宋体" w:eastAsia="宋体" w:cs="宋体"/>
                <w:color w:val="000000" w:themeColor="text1"/>
                <w:kern w:val="0"/>
                <w:sz w:val="20"/>
                <w:szCs w:val="20"/>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其他</w:t>
            </w:r>
            <w:r>
              <w:rPr>
                <w:rFonts w:hint="eastAsia" w:ascii="宋体" w:hAnsi="宋体" w:eastAsia="宋体" w:cs="宋体"/>
                <w:color w:val="000000" w:themeColor="text1"/>
                <w:kern w:val="0"/>
                <w:sz w:val="20"/>
                <w:szCs w:val="20"/>
                <w:lang w:val="en-US" w:eastAsia="zh-CN" w:bidi="ar"/>
              </w:rPr>
              <w:br w:type="textWrapping"/>
            </w:r>
            <w:r>
              <w:rPr>
                <w:rFonts w:hint="eastAsia" w:ascii="宋体" w:hAnsi="宋体" w:eastAsia="宋体" w:cs="宋体"/>
                <w:color w:val="000000" w:themeColor="text1"/>
                <w:kern w:val="0"/>
                <w:sz w:val="20"/>
                <w:szCs w:val="20"/>
                <w:lang w:val="en-US" w:eastAsia="zh-CN" w:bidi="ar"/>
              </w:rPr>
              <w:t>结果</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尚未</w:t>
            </w:r>
            <w:r>
              <w:rPr>
                <w:rFonts w:hint="eastAsia" w:ascii="宋体" w:hAnsi="宋体" w:eastAsia="宋体" w:cs="宋体"/>
                <w:color w:val="000000" w:themeColor="text1"/>
                <w:kern w:val="0"/>
                <w:sz w:val="20"/>
                <w:szCs w:val="20"/>
                <w:lang w:val="en-US" w:eastAsia="zh-CN" w:bidi="ar"/>
              </w:rPr>
              <w:br w:type="textWrapping"/>
            </w:r>
            <w:r>
              <w:rPr>
                <w:rFonts w:hint="eastAsia" w:ascii="宋体" w:hAnsi="宋体" w:eastAsia="宋体" w:cs="宋体"/>
                <w:color w:val="000000" w:themeColor="text1"/>
                <w:kern w:val="0"/>
                <w:sz w:val="20"/>
                <w:szCs w:val="20"/>
                <w:lang w:val="en-US" w:eastAsia="zh-CN" w:bidi="ar"/>
              </w:rPr>
              <w:t>审结</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宋体" w:hAnsi="宋体" w:eastAsia="宋体" w:cs="宋体"/>
                <w:color w:val="000000" w:themeColor="text1"/>
                <w:kern w:val="0"/>
                <w:sz w:val="20"/>
                <w:szCs w:val="20"/>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黑体" w:hAnsi="宋体" w:eastAsia="黑体" w:cs="黑体"/>
                <w:color w:val="000000" w:themeColor="text1"/>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黑体" w:hAnsi="宋体" w:eastAsia="黑体" w:cs="黑体"/>
                <w:color w:val="000000" w:themeColor="text1"/>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黑体" w:hAnsi="宋体" w:eastAsia="黑体" w:cs="黑体"/>
                <w:color w:val="000000" w:themeColor="text1"/>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color w:val="000000" w:themeColor="text1"/>
                <w:lang w:val="en-US"/>
              </w:rPr>
            </w:pPr>
            <w:r>
              <w:rPr>
                <w:rFonts w:hint="eastAsia" w:ascii="黑体" w:hAnsi="宋体" w:eastAsia="黑体" w:cs="黑体"/>
                <w:color w:val="000000" w:themeColor="text1"/>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color w:val="000000" w:themeColor="text1"/>
                <w:lang w:val="en-US"/>
              </w:rPr>
            </w:pPr>
            <w:r>
              <w:rPr>
                <w:rFonts w:hint="eastAsia" w:ascii="黑体" w:hAnsi="宋体" w:eastAsia="黑体" w:cs="黑体"/>
                <w:color w:val="000000" w:themeColor="text1"/>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color w:val="000000" w:themeColor="text1"/>
                <w:lang w:val="en-US"/>
              </w:rPr>
            </w:pPr>
            <w:r>
              <w:rPr>
                <w:rFonts w:hint="eastAsia" w:ascii="黑体" w:hAnsi="宋体" w:eastAsia="黑体" w:cs="黑体"/>
                <w:color w:val="000000" w:themeColor="text1"/>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color w:val="000000" w:themeColor="text1"/>
                <w:lang w:val="en-US"/>
              </w:rPr>
            </w:pPr>
            <w:r>
              <w:rPr>
                <w:rFonts w:hint="eastAsia" w:ascii="黑体" w:hAnsi="宋体" w:eastAsia="黑体" w:cs="黑体"/>
                <w:color w:val="000000" w:themeColor="text1"/>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color w:val="000000" w:themeColor="text1"/>
                <w:lang w:val="en-US"/>
              </w:rPr>
            </w:pPr>
            <w:r>
              <w:rPr>
                <w:rFonts w:hint="eastAsia" w:ascii="黑体" w:hAnsi="宋体" w:eastAsia="黑体" w:cs="黑体"/>
                <w:color w:val="000000" w:themeColor="text1"/>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color w:val="000000" w:themeColor="text1"/>
                <w:lang w:val="en-US"/>
              </w:rPr>
            </w:pPr>
            <w:r>
              <w:rPr>
                <w:rFonts w:hint="eastAsia" w:ascii="黑体" w:hAnsi="宋体" w:eastAsia="黑体" w:cs="黑体"/>
                <w:color w:val="000000" w:themeColor="text1"/>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color w:val="000000" w:themeColor="text1"/>
                <w:lang w:val="en-US"/>
              </w:rPr>
            </w:pPr>
            <w:r>
              <w:rPr>
                <w:rFonts w:hint="eastAsia" w:ascii="黑体" w:hAnsi="宋体" w:eastAsia="黑体" w:cs="黑体"/>
                <w:color w:val="000000" w:themeColor="text1"/>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color w:val="000000" w:themeColor="text1"/>
                <w:lang w:val="en-US"/>
              </w:rPr>
            </w:pPr>
            <w:r>
              <w:rPr>
                <w:rFonts w:hint="eastAsia" w:ascii="黑体" w:hAnsi="宋体" w:eastAsia="黑体" w:cs="黑体"/>
                <w:color w:val="000000" w:themeColor="text1"/>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黑体" w:hAnsi="宋体" w:eastAsia="黑体" w:cs="黑体"/>
                <w:color w:val="000000" w:themeColor="text1"/>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color w:val="000000" w:themeColor="text1"/>
                <w:lang w:val="en-US"/>
              </w:rPr>
            </w:pPr>
            <w:r>
              <w:rPr>
                <w:rFonts w:hint="eastAsia" w:ascii="黑体" w:hAnsi="宋体" w:eastAsia="黑体" w:cs="黑体"/>
                <w:color w:val="000000" w:themeColor="text1"/>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color w:val="000000" w:themeColor="text1"/>
              </w:rPr>
            </w:pPr>
            <w:r>
              <w:rPr>
                <w:rFonts w:hint="eastAsia" w:ascii="黑体" w:hAnsi="宋体" w:eastAsia="黑体" w:cs="黑体"/>
                <w:color w:val="000000" w:themeColor="text1"/>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0</w:t>
            </w:r>
          </w:p>
        </w:tc>
      </w:tr>
    </w:tbl>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560" w:lineRule="exact"/>
        <w:ind w:firstLine="640" w:firstLineChars="200"/>
        <w:jc w:val="left"/>
        <w:textAlignment w:val="auto"/>
        <w:outlineLvl w:val="0"/>
        <w:rPr>
          <w:rFonts w:hint="eastAsia" w:ascii="黑体" w:hAnsi="黑体" w:eastAsia="黑体" w:cs="黑体"/>
          <w:b w:val="0"/>
          <w:color w:val="000000" w:themeColor="text1"/>
          <w:sz w:val="32"/>
          <w:szCs w:val="32"/>
          <w:lang w:val="en-US" w:eastAsia="zh-CN"/>
        </w:rPr>
      </w:pPr>
      <w:r>
        <w:rPr>
          <w:rFonts w:hint="eastAsia" w:ascii="黑体" w:hAnsi="黑体" w:eastAsia="黑体" w:cs="黑体"/>
          <w:b w:val="0"/>
          <w:color w:val="000000" w:themeColor="text1"/>
          <w:sz w:val="32"/>
          <w:szCs w:val="32"/>
          <w:lang w:val="en-US" w:eastAsia="zh-CN"/>
        </w:rPr>
        <w:t>五、存在的主要问题及改进情况</w:t>
      </w:r>
    </w:p>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b w:val="0"/>
          <w:color w:val="000000" w:themeColor="text1"/>
          <w:kern w:val="0"/>
          <w:sz w:val="32"/>
          <w:szCs w:val="32"/>
          <w:lang w:val="en-US" w:eastAsia="zh-CN" w:bidi="ar"/>
        </w:rPr>
      </w:pPr>
      <w:r>
        <w:rPr>
          <w:rFonts w:hint="eastAsia" w:ascii="仿宋_GB2312" w:hAnsi="仿宋_GB2312" w:eastAsia="仿宋_GB2312" w:cs="仿宋_GB2312"/>
          <w:b w:val="0"/>
          <w:color w:val="000000" w:themeColor="text1"/>
          <w:kern w:val="0"/>
          <w:sz w:val="32"/>
          <w:szCs w:val="32"/>
          <w:lang w:val="en-US" w:eastAsia="zh-CN" w:bidi="ar"/>
        </w:rPr>
        <w:t>2021年，我局政府信息公开工作按照区政府的统一要求进行及时公开，取得了一定的成效。但是仍存在一定的提升空间：一是依申请公开工作的服务水平有待进一步提高，二是信息公开的内容不够均衡。针对以上情况，我局将继续完善措施，加强相关业务培训，进一步确保信息公开的及时性和全面性，围绕群众关心重点，充实信息公开内容，为做好我局政府信息公开工作奠定坚实基础。</w:t>
      </w:r>
    </w:p>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560" w:lineRule="exact"/>
        <w:ind w:firstLine="640" w:firstLineChars="200"/>
        <w:jc w:val="left"/>
        <w:textAlignment w:val="auto"/>
        <w:outlineLvl w:val="0"/>
        <w:rPr>
          <w:rFonts w:hint="eastAsia" w:ascii="黑体" w:hAnsi="黑体" w:eastAsia="黑体" w:cs="黑体"/>
          <w:b w:val="0"/>
          <w:color w:val="000000" w:themeColor="text1"/>
          <w:sz w:val="32"/>
          <w:szCs w:val="32"/>
          <w:lang w:val="en-US" w:eastAsia="zh-CN"/>
        </w:rPr>
      </w:pPr>
      <w:r>
        <w:rPr>
          <w:rFonts w:hint="eastAsia" w:ascii="黑体" w:hAnsi="黑体" w:eastAsia="黑体" w:cs="黑体"/>
          <w:b w:val="0"/>
          <w:color w:val="000000" w:themeColor="text1"/>
          <w:sz w:val="32"/>
          <w:szCs w:val="32"/>
          <w:lang w:val="en-US" w:eastAsia="zh-CN"/>
        </w:rPr>
        <w:t>六、其他需要报告的事项</w:t>
      </w:r>
    </w:p>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b w:val="0"/>
          <w:color w:val="000000" w:themeColor="text1"/>
          <w:kern w:val="0"/>
          <w:sz w:val="32"/>
          <w:szCs w:val="32"/>
          <w:lang w:val="en-US" w:eastAsia="zh-CN" w:bidi="ar"/>
        </w:rPr>
      </w:pPr>
      <w:r>
        <w:rPr>
          <w:rFonts w:hint="eastAsia" w:ascii="仿宋_GB2312" w:hAnsi="仿宋_GB2312" w:eastAsia="仿宋_GB2312" w:cs="仿宋_GB2312"/>
          <w:b w:val="0"/>
          <w:color w:val="000000" w:themeColor="text1"/>
          <w:kern w:val="0"/>
          <w:sz w:val="32"/>
          <w:szCs w:val="32"/>
          <w:lang w:val="en-US" w:eastAsia="zh-CN" w:bidi="ar"/>
        </w:rPr>
        <w:t>本机关全年没有收到超出一定数量或者频次范围的政府信息公开申请，也未对申请人收取信息处理费。</w:t>
      </w:r>
    </w:p>
    <w:p>
      <w:pPr>
        <w:spacing w:line="220" w:lineRule="atLeas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rsids>
    <w:rsidRoot w:val="00D31D50"/>
    <w:rsid w:val="00323B43"/>
    <w:rsid w:val="003D37D8"/>
    <w:rsid w:val="00426133"/>
    <w:rsid w:val="004358AB"/>
    <w:rsid w:val="008B7726"/>
    <w:rsid w:val="00D31D50"/>
    <w:rsid w:val="05383B61"/>
    <w:rsid w:val="0B35555A"/>
    <w:rsid w:val="1671666A"/>
    <w:rsid w:val="17262940"/>
    <w:rsid w:val="18CD3E2D"/>
    <w:rsid w:val="18CE3397"/>
    <w:rsid w:val="1A254B7A"/>
    <w:rsid w:val="1BC66FE8"/>
    <w:rsid w:val="1D14519F"/>
    <w:rsid w:val="20FD637B"/>
    <w:rsid w:val="238B4525"/>
    <w:rsid w:val="30417821"/>
    <w:rsid w:val="31B67049"/>
    <w:rsid w:val="33D568E7"/>
    <w:rsid w:val="394F38A9"/>
    <w:rsid w:val="43226395"/>
    <w:rsid w:val="4D0A6C9B"/>
    <w:rsid w:val="51B33C13"/>
    <w:rsid w:val="51C34832"/>
    <w:rsid w:val="53AE0D59"/>
    <w:rsid w:val="5ABD326D"/>
    <w:rsid w:val="5EA77202"/>
    <w:rsid w:val="62530605"/>
    <w:rsid w:val="63997796"/>
    <w:rsid w:val="6451402D"/>
    <w:rsid w:val="6655686D"/>
    <w:rsid w:val="6ABE4847"/>
    <w:rsid w:val="6FE332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70</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2022-01-12T06:11:00Z</cp:lastPrinted>
  <dcterms:modified xsi:type="dcterms:W3CDTF">2022-01-24T09:05:43Z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