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2023年度</w:t>
      </w:r>
      <w:r>
        <w:rPr>
          <w:rFonts w:hint="eastAsia" w:ascii="方正小标宋简体" w:hAnsi="方正小标宋简体" w:eastAsia="方正小标宋简体" w:cs="方正小标宋简体"/>
          <w:sz w:val="44"/>
          <w:szCs w:val="44"/>
        </w:rPr>
        <w:t>北仑区综合行政执法局政府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信息公开工作年度报告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w:t>
      </w:r>
      <w:r>
        <w:rPr>
          <w:rFonts w:hint="eastAsia" w:ascii="黑体" w:hAnsi="黑体" w:eastAsia="黑体" w:cs="黑体"/>
          <w:sz w:val="32"/>
          <w:szCs w:val="32"/>
          <w:lang w:val="en-US" w:eastAsia="zh-CN"/>
        </w:rPr>
        <w:t>2023年</w:t>
      </w:r>
      <w:r>
        <w:rPr>
          <w:rFonts w:hint="eastAsia" w:ascii="黑体" w:hAnsi="黑体" w:eastAsia="黑体" w:cs="黑体"/>
          <w:sz w:val="32"/>
          <w:szCs w:val="32"/>
        </w:rPr>
        <w:t>工作推进情况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（一）做深做实政务公开工作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以《</w:t>
      </w:r>
      <w:r>
        <w:rPr>
          <w:rFonts w:hint="eastAsia" w:ascii="仿宋_GB2312" w:hAnsi="仿宋_GB2312" w:eastAsia="仿宋_GB2312" w:cs="仿宋_GB2312"/>
          <w:sz w:val="32"/>
          <w:szCs w:val="32"/>
        </w:rPr>
        <w:t>北仑区政务主动公开 “一本账”</w:t>
      </w:r>
      <w:r>
        <w:rPr>
          <w:rFonts w:hint="eastAsia" w:ascii="仿宋_GB2312" w:hAnsi="仿宋_GB2312" w:eastAsia="仿宋_GB2312" w:cs="仿宋_GB2312"/>
          <w:sz w:val="32"/>
          <w:szCs w:val="32"/>
          <w:lang w:eastAsia="zh-CN"/>
        </w:rPr>
        <w:t>》为基础，结合单位实际，梳理目录清单，制定</w:t>
      </w:r>
      <w:r>
        <w:rPr>
          <w:rFonts w:hint="eastAsia" w:ascii="仿宋_GB2312" w:hAnsi="仿宋_GB2312" w:eastAsia="仿宋_GB2312" w:cs="仿宋_GB2312"/>
          <w:sz w:val="32"/>
          <w:szCs w:val="32"/>
          <w:lang w:val="en-US" w:eastAsia="zh-CN"/>
        </w:rPr>
        <w:t>19项综合执法局</w:t>
      </w:r>
      <w:r>
        <w:rPr>
          <w:rFonts w:hint="eastAsia" w:ascii="仿宋_GB2312" w:hAnsi="仿宋_GB2312" w:eastAsia="仿宋_GB2312" w:cs="仿宋_GB2312"/>
          <w:sz w:val="32"/>
          <w:szCs w:val="32"/>
          <w:lang w:eastAsia="zh-CN"/>
        </w:rPr>
        <w:t>政务公开工作</w:t>
      </w:r>
      <w:r>
        <w:rPr>
          <w:rFonts w:hint="eastAsia" w:ascii="仿宋_GB2312" w:hAnsi="仿宋_GB2312" w:eastAsia="仿宋_GB2312" w:cs="仿宋_GB2312"/>
          <w:sz w:val="32"/>
          <w:szCs w:val="32"/>
        </w:rPr>
        <w:t>“一本账”</w:t>
      </w:r>
      <w:r>
        <w:rPr>
          <w:rFonts w:hint="eastAsia" w:ascii="仿宋_GB2312" w:hAnsi="仿宋_GB2312" w:eastAsia="仿宋_GB2312" w:cs="仿宋_GB2312"/>
          <w:sz w:val="32"/>
          <w:szCs w:val="32"/>
          <w:lang w:eastAsia="zh-CN"/>
        </w:rPr>
        <w:t>并实施公开，列出</w:t>
      </w:r>
      <w:r>
        <w:rPr>
          <w:rFonts w:hint="eastAsia" w:ascii="仿宋_GB2312" w:hAnsi="仿宋_GB2312" w:eastAsia="仿宋_GB2312" w:cs="仿宋_GB2312"/>
          <w:sz w:val="32"/>
          <w:szCs w:val="32"/>
        </w:rPr>
        <w:t>各项工作具体牵头和责任落实单位</w:t>
      </w:r>
      <w:r>
        <w:rPr>
          <w:rFonts w:hint="eastAsia" w:ascii="仿宋_GB2312" w:hAnsi="仿宋_GB2312" w:eastAsia="仿宋_GB2312" w:cs="仿宋_GB2312"/>
          <w:sz w:val="32"/>
          <w:szCs w:val="32"/>
          <w:lang w:eastAsia="zh-CN"/>
        </w:rPr>
        <w:t>，进一步明确政务公开工作事项范围和工作标准。</w:t>
      </w:r>
      <w:r>
        <w:rPr>
          <w:rFonts w:hint="eastAsia" w:ascii="仿宋_GB2312" w:hAnsi="仿宋_GB2312" w:eastAsia="仿宋_GB2312" w:cs="仿宋_GB2312"/>
          <w:sz w:val="32"/>
          <w:szCs w:val="32"/>
        </w:rPr>
        <w:t>及时准确地公布本部门各项信息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截至11月底，</w:t>
      </w:r>
      <w:r>
        <w:rPr>
          <w:rFonts w:hint="eastAsia" w:ascii="仿宋_GB2312" w:hAnsi="仿宋_GB2312" w:eastAsia="仿宋_GB2312" w:cs="仿宋_GB2312"/>
          <w:sz w:val="32"/>
          <w:szCs w:val="32"/>
          <w:lang w:eastAsia="zh-CN"/>
        </w:rPr>
        <w:t>通过局</w:t>
      </w:r>
      <w:r>
        <w:rPr>
          <w:rFonts w:hint="eastAsia" w:ascii="仿宋_GB2312" w:hAnsi="仿宋_GB2312" w:eastAsia="仿宋_GB2312" w:cs="仿宋_GB2312"/>
          <w:sz w:val="32"/>
          <w:szCs w:val="32"/>
        </w:rPr>
        <w:t>网站及时准确</w:t>
      </w:r>
      <w:r>
        <w:rPr>
          <w:rFonts w:hint="eastAsia" w:ascii="仿宋_GB2312" w:hAnsi="仿宋_GB2312" w:eastAsia="仿宋_GB2312" w:cs="仿宋_GB2312"/>
          <w:color w:val="auto"/>
          <w:sz w:val="32"/>
          <w:szCs w:val="32"/>
        </w:rPr>
        <w:t>公开信息</w:t>
      </w:r>
      <w:r>
        <w:rPr>
          <w:rFonts w:hint="eastAsia" w:ascii="仿宋_GB2312" w:hAnsi="仿宋_GB2312" w:eastAsia="仿宋_GB2312" w:cs="仿宋_GB2312"/>
          <w:color w:val="auto"/>
          <w:sz w:val="32"/>
          <w:szCs w:val="32"/>
          <w:lang w:val="en-US" w:eastAsia="zh-CN"/>
        </w:rPr>
        <w:t>892</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其中部门文件</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条、部门预决算类信息1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条、建议提案类19条、</w:t>
      </w:r>
      <w:r>
        <w:rPr>
          <w:rFonts w:hint="eastAsia" w:ascii="仿宋_GB2312" w:hAnsi="仿宋_GB2312" w:eastAsia="仿宋_GB2312" w:cs="仿宋_GB2312"/>
          <w:color w:val="auto"/>
          <w:sz w:val="32"/>
          <w:szCs w:val="32"/>
          <w:lang w:eastAsia="zh-CN"/>
        </w:rPr>
        <w:t>政务</w:t>
      </w:r>
      <w:r>
        <w:rPr>
          <w:rFonts w:hint="eastAsia" w:ascii="仿宋_GB2312" w:hAnsi="仿宋_GB2312" w:eastAsia="仿宋_GB2312" w:cs="仿宋_GB2312"/>
          <w:color w:val="auto"/>
          <w:sz w:val="32"/>
          <w:szCs w:val="32"/>
        </w:rPr>
        <w:t>动态类信息</w:t>
      </w:r>
      <w:r>
        <w:rPr>
          <w:rFonts w:hint="eastAsia" w:ascii="仿宋_GB2312" w:hAnsi="仿宋_GB2312" w:eastAsia="仿宋_GB2312" w:cs="仿宋_GB2312"/>
          <w:color w:val="auto"/>
          <w:sz w:val="32"/>
          <w:szCs w:val="32"/>
          <w:lang w:val="en-US" w:eastAsia="zh-CN"/>
        </w:rPr>
        <w:t>51</w:t>
      </w:r>
      <w:r>
        <w:rPr>
          <w:rFonts w:hint="eastAsia" w:ascii="仿宋_GB2312" w:hAnsi="仿宋_GB2312" w:eastAsia="仿宋_GB2312" w:cs="仿宋_GB2312"/>
          <w:color w:val="auto"/>
          <w:sz w:val="32"/>
          <w:szCs w:val="32"/>
        </w:rPr>
        <w:t>条、公告公示类</w:t>
      </w:r>
      <w:r>
        <w:rPr>
          <w:rFonts w:hint="eastAsia" w:ascii="仿宋_GB2312" w:hAnsi="仿宋_GB2312" w:eastAsia="仿宋_GB2312" w:cs="仿宋_GB2312"/>
          <w:color w:val="auto"/>
          <w:sz w:val="32"/>
          <w:szCs w:val="32"/>
          <w:lang w:val="en-US" w:eastAsia="zh-CN"/>
        </w:rPr>
        <w:t>776</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eastAsia="zh-CN"/>
        </w:rPr>
        <w:t>、其他信息</w:t>
      </w:r>
      <w:r>
        <w:rPr>
          <w:rFonts w:hint="eastAsia" w:ascii="仿宋_GB2312" w:hAnsi="仿宋_GB2312" w:eastAsia="仿宋_GB2312" w:cs="仿宋_GB2312"/>
          <w:color w:val="auto"/>
          <w:sz w:val="32"/>
          <w:szCs w:val="32"/>
          <w:lang w:val="en-US" w:eastAsia="zh-CN"/>
        </w:rPr>
        <w:t>26条。</w:t>
      </w:r>
      <w:r>
        <w:rPr>
          <w:rFonts w:hint="eastAsia" w:ascii="仿宋_GB2312" w:hAnsi="仿宋_GB2312" w:eastAsia="仿宋_GB2312" w:cs="仿宋_GB2312"/>
          <w:sz w:val="32"/>
          <w:szCs w:val="32"/>
        </w:rPr>
        <w:t>政务新媒体方面，开展互动留言</w:t>
      </w:r>
      <w:r>
        <w:rPr>
          <w:rFonts w:hint="eastAsia" w:ascii="仿宋_GB2312" w:hAnsi="仿宋_GB2312" w:eastAsia="仿宋_GB2312" w:cs="仿宋_GB2312"/>
          <w:sz w:val="32"/>
          <w:szCs w:val="32"/>
          <w:lang w:val="en-US" w:eastAsia="zh-CN"/>
        </w:rPr>
        <w:t>441</w:t>
      </w:r>
      <w:r>
        <w:rPr>
          <w:rFonts w:hint="eastAsia" w:ascii="仿宋_GB2312" w:hAnsi="仿宋_GB2312" w:eastAsia="仿宋_GB2312" w:cs="仿宋_GB2312"/>
          <w:sz w:val="32"/>
          <w:szCs w:val="32"/>
        </w:rPr>
        <w:t>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（二）规范依申请公开办理工作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建立健全依申请公开工作机制，建立局办公室牵头，</w:t>
      </w:r>
      <w:r>
        <w:rPr>
          <w:rFonts w:hint="eastAsia" w:ascii="仿宋_GB2312" w:hAnsi="仿宋_GB2312" w:eastAsia="仿宋_GB2312" w:cs="仿宋_GB2312"/>
          <w:sz w:val="32"/>
          <w:szCs w:val="32"/>
          <w:lang w:eastAsia="zh-CN"/>
        </w:rPr>
        <w:t>法制科指导，</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科</w:t>
      </w:r>
      <w:r>
        <w:rPr>
          <w:rFonts w:hint="eastAsia" w:ascii="仿宋_GB2312" w:hAnsi="仿宋_GB2312" w:eastAsia="仿宋_GB2312" w:cs="仿宋_GB2312"/>
          <w:sz w:val="32"/>
          <w:szCs w:val="32"/>
        </w:rPr>
        <w:t>室依法办理的依申请公开答复机制</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登记、审核、办理、答复、归档等</w:t>
      </w:r>
      <w:r>
        <w:rPr>
          <w:rFonts w:hint="eastAsia" w:ascii="仿宋_GB2312" w:hAnsi="仿宋_GB2312" w:eastAsia="仿宋_GB2312" w:cs="仿宋_GB2312"/>
          <w:sz w:val="32"/>
          <w:szCs w:val="32"/>
          <w:lang w:eastAsia="zh-CN"/>
        </w:rPr>
        <w:t>流程形成工作闭环，</w:t>
      </w:r>
      <w:r>
        <w:rPr>
          <w:rFonts w:hint="eastAsia" w:ascii="仿宋_GB2312" w:hAnsi="仿宋_GB2312" w:eastAsia="仿宋_GB2312" w:cs="仿宋_GB2312"/>
          <w:sz w:val="32"/>
          <w:szCs w:val="32"/>
        </w:rPr>
        <w:t>确保按时办结。健全完善政府信息公开指南，明确受理机构、办公地址、办公时间、联系电话等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改进完善申请办理方式，加强与申请人沟通，做好解疑释惑工作，引导公众正确行使申请权和救济权。202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年累计收到依申请公开</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件，已按照规定程序和要求及时答复申请人。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（三）加强政务公开平台建设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eastAsia="zh-CN"/>
        </w:rPr>
        <w:t>上级</w:t>
      </w:r>
      <w:r>
        <w:rPr>
          <w:rFonts w:hint="eastAsia" w:ascii="仿宋_GB2312" w:hAnsi="仿宋_GB2312" w:eastAsia="仿宋_GB2312" w:cs="仿宋_GB2312"/>
          <w:sz w:val="32"/>
          <w:szCs w:val="32"/>
        </w:rPr>
        <w:t>统一部署，政府网站集约化平台集成至“浙政钉”工作台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整合各类办公、管理、学习等移动应用，实现面向基层工作人员的移动应用一端集成。</w:t>
      </w:r>
      <w:r>
        <w:rPr>
          <w:rFonts w:hint="eastAsia" w:ascii="仿宋_GB2312" w:hAnsi="仿宋_GB2312" w:eastAsia="仿宋_GB2312" w:cs="仿宋_GB2312"/>
          <w:sz w:val="32"/>
          <w:szCs w:val="32"/>
          <w:lang w:eastAsia="zh-CN"/>
        </w:rPr>
        <w:t>积极做好平台调整工作，</w:t>
      </w:r>
      <w:r>
        <w:rPr>
          <w:rFonts w:hint="eastAsia" w:ascii="仿宋_GB2312" w:hAnsi="仿宋_GB2312" w:eastAsia="仿宋_GB2312" w:cs="仿宋_GB2312"/>
          <w:sz w:val="32"/>
          <w:szCs w:val="32"/>
        </w:rPr>
        <w:t>根据《国务院办公厅政府信息与政务公开办公室关于规范政府信息公开平台有关事项的通知》有关要求，进一步优化网站功能、栏目设置，着力将局网站打造成更加全面的政务信息平台、更加权威的政策发布解读平台、更加及时回应民生关切的便民服务平台。</w:t>
      </w:r>
      <w:r>
        <w:rPr>
          <w:rFonts w:hint="eastAsia" w:ascii="仿宋_GB2312" w:hAnsi="仿宋_GB2312" w:eastAsia="仿宋_GB2312" w:cs="仿宋_GB2312"/>
          <w:sz w:val="32"/>
          <w:szCs w:val="32"/>
          <w:lang w:eastAsia="zh-CN"/>
        </w:rPr>
        <w:t>今年在区政务办指导下，我局在重点公开领域新增城市燃气等</w:t>
      </w:r>
      <w:r>
        <w:rPr>
          <w:rFonts w:hint="eastAsia" w:ascii="仿宋_GB2312" w:hAnsi="仿宋_GB2312" w:eastAsia="仿宋_GB2312" w:cs="仿宋_GB2312"/>
          <w:sz w:val="32"/>
          <w:szCs w:val="32"/>
          <w:lang w:val="en-US" w:eastAsia="zh-CN"/>
        </w:rPr>
        <w:t>8个子版块，准确发布信息动态22条。</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主动公开政府信息情况</w:t>
      </w:r>
    </w:p>
    <w:tbl>
      <w:tblPr>
        <w:tblStyle w:val="7"/>
        <w:tblW w:w="87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89"/>
        <w:gridCol w:w="2188"/>
        <w:gridCol w:w="2189"/>
        <w:gridCol w:w="2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本年制发件数</w:t>
            </w:r>
          </w:p>
        </w:tc>
        <w:tc>
          <w:tcPr>
            <w:tcW w:w="2189" w:type="dxa"/>
            <w:tcBorders>
              <w:top w:val="single" w:color="auto" w:sz="8" w:space="0"/>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本年废止件数</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规章</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行政规范性文件</w:t>
            </w:r>
          </w:p>
        </w:tc>
        <w:tc>
          <w:tcPr>
            <w:tcW w:w="2188"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9" w:type="dxa"/>
            <w:tcBorders>
              <w:top w:val="nil"/>
              <w:left w:val="nil"/>
              <w:bottom w:val="single" w:color="auto" w:sz="4"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c>
          <w:tcPr>
            <w:tcW w:w="2188"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4" w:space="0"/>
              <w:left w:val="single" w:color="auto" w:sz="4" w:space="0"/>
              <w:bottom w:val="single" w:color="auto" w:sz="4" w:space="0"/>
              <w:right w:val="single" w:color="auto" w:sz="4"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4"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4"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行政许可</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878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行政处罚</w:t>
            </w:r>
          </w:p>
        </w:tc>
        <w:tc>
          <w:tcPr>
            <w:tcW w:w="6565" w:type="dxa"/>
            <w:gridSpan w:val="3"/>
            <w:tcBorders>
              <w:top w:val="nil"/>
              <w:left w:val="nil"/>
              <w:bottom w:val="single" w:color="auto" w:sz="4"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eastAsiaTheme="minorEastAsia"/>
                <w:lang w:val="en-US" w:eastAsia="zh-CN"/>
              </w:rPr>
            </w:pPr>
            <w:r>
              <w:rPr>
                <w:rFonts w:hint="eastAsia"/>
                <w:lang w:val="en-US" w:eastAsia="zh-CN"/>
              </w:rPr>
              <w:t>2150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4" w:space="0"/>
              <w:left w:val="single" w:color="auto" w:sz="4"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行政强制</w:t>
            </w:r>
          </w:p>
        </w:tc>
        <w:tc>
          <w:tcPr>
            <w:tcW w:w="6565" w:type="dxa"/>
            <w:gridSpan w:val="3"/>
            <w:tcBorders>
              <w:top w:val="single" w:color="auto" w:sz="4" w:space="0"/>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eastAsiaTheme="minorEastAsia"/>
                <w:lang w:val="en-US" w:eastAsia="zh-CN"/>
              </w:rPr>
            </w:pPr>
            <w:r>
              <w:rPr>
                <w:rFonts w:hint="eastAsia"/>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4" w:space="0"/>
              <w:bottom w:val="single" w:color="auto" w:sz="4" w:space="0"/>
              <w:right w:val="single" w:color="auto" w:sz="4"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4" w:space="0"/>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4" w:space="0"/>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行政事业性收费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jc w:val="center"/>
              <w:rPr>
                <w:rFonts w:hint="default" w:ascii="宋体" w:hAnsi="宋体" w:eastAsia="宋体" w:cs="宋体"/>
                <w:color w:val="333333"/>
                <w:sz w:val="21"/>
                <w:szCs w:val="21"/>
                <w:lang w:val="en-US"/>
              </w:rPr>
            </w:pPr>
            <w:r>
              <w:rPr>
                <w:rFonts w:hint="eastAsia" w:ascii="宋体" w:hAnsi="宋体" w:eastAsia="宋体" w:cs="宋体"/>
                <w:color w:val="000000"/>
                <w:kern w:val="0"/>
                <w:sz w:val="20"/>
                <w:szCs w:val="20"/>
                <w:lang w:val="en-US" w:eastAsia="zh-CN" w:bidi="ar"/>
              </w:rPr>
              <w:t>335</w:t>
            </w:r>
          </w:p>
        </w:tc>
      </w:tr>
    </w:tbl>
    <w:p>
      <w:pPr>
        <w:pStyle w:val="6"/>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黑体" w:hAnsi="黑体" w:eastAsia="黑体" w:cs="黑体"/>
          <w:b w:val="0"/>
          <w:color w:val="auto"/>
          <w:sz w:val="32"/>
          <w:szCs w:val="32"/>
          <w:lang w:val="en-US" w:eastAsia="zh-CN"/>
        </w:rPr>
      </w:pPr>
      <w:r>
        <w:rPr>
          <w:rFonts w:hint="eastAsia" w:ascii="黑体" w:hAnsi="黑体" w:eastAsia="黑体" w:cs="黑体"/>
          <w:b w:val="0"/>
          <w:color w:val="auto"/>
          <w:sz w:val="32"/>
          <w:szCs w:val="32"/>
          <w:lang w:val="en-US" w:eastAsia="zh-CN"/>
        </w:rPr>
        <w:t>三、收到和处理政府信息公开申请情况</w:t>
      </w:r>
    </w:p>
    <w:tbl>
      <w:tblPr>
        <w:tblStyle w:val="7"/>
        <w:tblW w:w="880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1028"/>
        <w:gridCol w:w="900"/>
        <w:gridCol w:w="2543"/>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楷体" w:hAnsi="楷体" w:eastAsia="楷体" w:cs="楷体"/>
                <w:color w:val="333333"/>
                <w:kern w:val="0"/>
                <w:sz w:val="20"/>
                <w:szCs w:val="20"/>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b/>
                <w:bCs/>
              </w:rPr>
            </w:pPr>
            <w:r>
              <w:rPr>
                <w:rFonts w:hint="eastAsia" w:ascii="宋体" w:hAnsi="宋体" w:eastAsia="宋体" w:cs="宋体"/>
                <w:b/>
                <w:bCs/>
                <w:color w:val="333333"/>
                <w:kern w:val="0"/>
                <w:sz w:val="20"/>
                <w:szCs w:val="20"/>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7</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restart"/>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三、本年度办理结果</w:t>
            </w:r>
          </w:p>
        </w:tc>
        <w:tc>
          <w:tcPr>
            <w:tcW w:w="3443"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443"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（二）部分公开</w:t>
            </w:r>
            <w:r>
              <w:rPr>
                <w:rFonts w:hint="eastAsia" w:ascii="楷体" w:hAnsi="楷体" w:eastAsia="楷体" w:cs="楷体"/>
                <w:color w:val="333333"/>
                <w:kern w:val="0"/>
                <w:sz w:val="20"/>
                <w:szCs w:val="20"/>
                <w:lang w:val="en-US" w:eastAsia="zh-CN" w:bidi="ar"/>
              </w:rPr>
              <w:t>（区分处理的，只计这一情形，不计其他情形）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（三）不予公开</w:t>
            </w: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1.属于国家秘密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90" w:hRule="atLeast"/>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3.危及“三安全一稳定”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4.保护第三方合法权益</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5.属于三类内部事务信息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6.属于四类过程性信息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b/>
                <w:bCs/>
              </w:rPr>
            </w:pPr>
            <w:r>
              <w:rPr>
                <w:rFonts w:hint="eastAsia" w:ascii="宋体" w:hAnsi="宋体" w:eastAsia="宋体" w:cs="宋体"/>
                <w:color w:val="333333"/>
                <w:kern w:val="0"/>
                <w:sz w:val="20"/>
                <w:szCs w:val="20"/>
                <w:lang w:val="en-US" w:eastAsia="zh-CN" w:bidi="ar"/>
              </w:rPr>
              <w:t>7.属于行政执法案卷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color w:val="333333"/>
                <w:kern w:val="0"/>
                <w:sz w:val="21"/>
                <w:szCs w:val="21"/>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8.属于行政查询事项</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（四）无法提供</w:t>
            </w: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4</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（五）不予处理</w:t>
            </w:r>
          </w:p>
        </w:tc>
        <w:tc>
          <w:tcPr>
            <w:tcW w:w="2543"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1.信访举报投诉类申请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nil"/>
              <w:left w:val="nil"/>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8" w:space="0"/>
              <w:left w:val="nil"/>
              <w:bottom w:val="single" w:color="auto" w:sz="4"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4.无正当理由大量反复申请</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1028" w:type="dxa"/>
            <w:vMerge w:val="continue"/>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5.要求行政机关确认或重新出具已获取信息</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single" w:color="auto" w:sz="4" w:space="0"/>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restart"/>
            <w:tcBorders>
              <w:top w:val="single" w:color="auto" w:sz="4" w:space="0"/>
              <w:left w:val="nil"/>
              <w:bottom w:val="outset" w:color="auto" w:sz="6"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（六）其他处理</w:t>
            </w:r>
          </w:p>
        </w:tc>
        <w:tc>
          <w:tcPr>
            <w:tcW w:w="2543" w:type="dxa"/>
            <w:tcBorders>
              <w:top w:val="single" w:color="auto" w:sz="4" w:space="0"/>
              <w:left w:val="single" w:color="auto" w:sz="4"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1.申请人无正当理由逾期不补正、行政机关不再处理其政府信息公开申请</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8"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outset" w:color="auto" w:sz="6" w:space="0"/>
              <w:left w:val="nil"/>
              <w:bottom w:val="outset" w:color="auto" w:sz="6"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nil"/>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2.申请人逾期未按收费通知要求缴纳费用、行政机关不再处理其政府信息公开申请</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1028" w:type="dxa"/>
            <w:vMerge w:val="continue"/>
            <w:tcBorders>
              <w:top w:val="nil"/>
              <w:left w:val="single" w:color="auto" w:sz="4" w:space="0"/>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900" w:type="dxa"/>
            <w:vMerge w:val="continue"/>
            <w:tcBorders>
              <w:top w:val="outset" w:color="auto" w:sz="6"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543" w:type="dxa"/>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3.其他</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333333"/>
                <w:kern w:val="0"/>
                <w:sz w:val="21"/>
                <w:szCs w:val="21"/>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288" w:hRule="atLeast"/>
          <w:jc w:val="center"/>
        </w:trPr>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443" w:type="dxa"/>
            <w:gridSpan w:val="2"/>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b/>
                <w:bCs/>
              </w:rPr>
            </w:pPr>
            <w:r>
              <w:rPr>
                <w:rFonts w:hint="eastAsia" w:ascii="宋体" w:hAnsi="宋体" w:eastAsia="宋体" w:cs="宋体"/>
                <w:b/>
                <w:bCs/>
                <w:color w:val="333333"/>
                <w:kern w:val="0"/>
                <w:sz w:val="20"/>
                <w:szCs w:val="20"/>
                <w:lang w:val="en-US" w:eastAsia="zh-CN" w:bidi="ar"/>
              </w:rPr>
              <w:t>（七）总计</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7</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b/>
                <w:bCs/>
                <w:color w:val="333333"/>
                <w:kern w:val="0"/>
                <w:sz w:val="20"/>
                <w:szCs w:val="20"/>
                <w:lang w:val="en-US" w:eastAsia="zh-CN" w:bidi="ar"/>
              </w:rPr>
              <w:t>四、结转下年度继续办理</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20"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333333"/>
                <w:kern w:val="0"/>
                <w:sz w:val="21"/>
                <w:szCs w:val="21"/>
                <w:lang w:val="en-US" w:eastAsia="zh-CN" w:bidi="ar"/>
              </w:rPr>
              <w:t>0</w:t>
            </w:r>
          </w:p>
        </w:tc>
        <w:tc>
          <w:tcPr>
            <w:tcW w:w="61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bCs/>
                <w:color w:val="333333"/>
                <w:sz w:val="21"/>
                <w:szCs w:val="21"/>
                <w:lang w:val="en-US" w:eastAsia="zh-CN"/>
              </w:rPr>
            </w:pPr>
            <w:r>
              <w:rPr>
                <w:rFonts w:hint="eastAsia" w:ascii="仿宋_GB2312" w:hAnsi="仿宋_GB2312" w:eastAsia="仿宋_GB2312" w:cs="仿宋_GB2312"/>
                <w:b/>
                <w:bCs/>
                <w:color w:val="333333"/>
                <w:sz w:val="21"/>
                <w:szCs w:val="21"/>
                <w:lang w:val="en-US" w:eastAsia="zh-CN"/>
              </w:rPr>
              <w:t>0</w:t>
            </w:r>
          </w:p>
        </w:tc>
      </w:tr>
    </w:tbl>
    <w:p>
      <w:pPr>
        <w:pStyle w:val="6"/>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宋体" w:hAnsi="宋体" w:eastAsia="宋体" w:cs="宋体"/>
          <w:b w:val="0"/>
          <w:i w:val="0"/>
          <w:caps w:val="0"/>
          <w:color w:val="auto"/>
          <w:spacing w:val="0"/>
          <w:sz w:val="24"/>
          <w:szCs w:val="24"/>
        </w:rPr>
      </w:pPr>
      <w:r>
        <w:rPr>
          <w:rFonts w:hint="eastAsia" w:ascii="黑体" w:hAnsi="黑体" w:eastAsia="黑体" w:cs="黑体"/>
          <w:b w:val="0"/>
          <w:color w:val="auto"/>
          <w:sz w:val="32"/>
          <w:szCs w:val="32"/>
          <w:lang w:val="en-US" w:eastAsia="zh-CN"/>
        </w:rPr>
        <w:t>四、政府信息公开行政复议、行政诉讼情况</w:t>
      </w:r>
    </w:p>
    <w:tbl>
      <w:tblPr>
        <w:tblStyle w:val="7"/>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5</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1</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1</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2</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1</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宋体" w:hAnsi="宋体" w:eastAsia="宋体" w:cs="宋体"/>
                <w:color w:val="333333"/>
                <w:sz w:val="21"/>
                <w:szCs w:val="21"/>
              </w:rPr>
            </w:pPr>
            <w:r>
              <w:rPr>
                <w:rFonts w:hint="eastAsia" w:ascii="黑体" w:hAnsi="宋体" w:eastAsia="黑体" w:cs="黑体"/>
                <w:color w:val="333333"/>
                <w:kern w:val="2"/>
                <w:sz w:val="20"/>
                <w:szCs w:val="20"/>
                <w:lang w:val="en-US" w:eastAsia="zh-CN" w:bidi="ar"/>
              </w:rPr>
              <w:t>1</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五、存在的主要问题及下一步工作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年，政务公开工作虽然取得一定</w:t>
      </w:r>
      <w:r>
        <w:rPr>
          <w:rFonts w:hint="eastAsia" w:ascii="仿宋_GB2312" w:hAnsi="仿宋_GB2312" w:eastAsia="仿宋_GB2312" w:cs="仿宋_GB2312"/>
          <w:sz w:val="32"/>
          <w:szCs w:val="32"/>
          <w:lang w:eastAsia="zh-CN"/>
        </w:rPr>
        <w:t>成效</w:t>
      </w:r>
      <w:r>
        <w:rPr>
          <w:rFonts w:hint="eastAsia" w:ascii="仿宋_GB2312" w:hAnsi="仿宋_GB2312" w:eastAsia="仿宋_GB2312" w:cs="仿宋_GB2312"/>
          <w:sz w:val="32"/>
          <w:szCs w:val="32"/>
        </w:rPr>
        <w:t>，但还存在</w:t>
      </w:r>
      <w:r>
        <w:rPr>
          <w:rFonts w:hint="eastAsia" w:ascii="仿宋_GB2312" w:hAnsi="仿宋_GB2312" w:eastAsia="仿宋_GB2312" w:cs="仿宋_GB2312"/>
          <w:sz w:val="32"/>
          <w:szCs w:val="32"/>
          <w:lang w:eastAsia="zh-CN"/>
        </w:rPr>
        <w:t>部分</w:t>
      </w:r>
      <w:r>
        <w:rPr>
          <w:rFonts w:hint="eastAsia" w:ascii="仿宋_GB2312" w:hAnsi="仿宋_GB2312" w:eastAsia="仿宋_GB2312" w:cs="仿宋_GB2312"/>
          <w:sz w:val="32"/>
          <w:szCs w:val="32"/>
        </w:rPr>
        <w:t>问题</w:t>
      </w:r>
      <w:r>
        <w:rPr>
          <w:rFonts w:hint="eastAsia" w:ascii="仿宋_GB2312" w:hAnsi="仿宋_GB2312" w:eastAsia="仿宋_GB2312" w:cs="仿宋_GB2312"/>
          <w:sz w:val="32"/>
          <w:szCs w:val="32"/>
          <w:lang w:eastAsia="zh-CN"/>
        </w:rPr>
        <w:t>，如：</w:t>
      </w:r>
      <w:r>
        <w:rPr>
          <w:rFonts w:hint="eastAsia" w:ascii="仿宋_GB2312" w:hAnsi="仿宋_GB2312" w:eastAsia="仿宋_GB2312" w:cs="仿宋_GB2312"/>
          <w:sz w:val="32"/>
          <w:szCs w:val="32"/>
        </w:rPr>
        <w:t>政务公开工作意识和宣传推广有待进一步加强，抓好公开工作的积极主动性需要强化；政策文件解读工作有待进一步加强，解读形式和解读质量需要不够丰富；政务公开理论研究有待进一步加强，理论指导实践作用发挥不够有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kern w:val="2"/>
          <w:sz w:val="32"/>
          <w:szCs w:val="32"/>
          <w:lang w:val="en-US" w:eastAsia="zh-CN" w:bidi="ar-SA"/>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区综合执法局</w:t>
      </w:r>
      <w:r>
        <w:rPr>
          <w:rFonts w:hint="eastAsia" w:ascii="仿宋_GB2312" w:hAnsi="仿宋_GB2312" w:eastAsia="仿宋_GB2312" w:cs="仿宋_GB2312"/>
          <w:sz w:val="32"/>
          <w:szCs w:val="32"/>
        </w:rPr>
        <w:t>将继续贯彻落实</w:t>
      </w:r>
      <w:r>
        <w:rPr>
          <w:rFonts w:hint="eastAsia" w:ascii="仿宋_GB2312" w:hAnsi="仿宋_GB2312" w:eastAsia="仿宋_GB2312" w:cs="仿宋_GB2312"/>
          <w:sz w:val="32"/>
          <w:szCs w:val="32"/>
          <w:lang w:eastAsia="zh-CN"/>
        </w:rPr>
        <w:t>政务公开工作要求</w:t>
      </w:r>
      <w:r>
        <w:rPr>
          <w:rFonts w:hint="eastAsia" w:ascii="仿宋_GB2312" w:hAnsi="仿宋_GB2312" w:eastAsia="仿宋_GB2312" w:cs="仿宋_GB2312"/>
          <w:sz w:val="32"/>
          <w:szCs w:val="32"/>
        </w:rPr>
        <w:t>，完善体制机制，加强宣传培训，强化政策解读，不断提升政务公开工作质量。一是全面落实</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政府工作部署及</w:t>
      </w:r>
      <w:r>
        <w:rPr>
          <w:rFonts w:hint="eastAsia" w:ascii="仿宋_GB2312" w:hAnsi="仿宋_GB2312" w:eastAsia="仿宋_GB2312" w:cs="仿宋_GB2312"/>
          <w:sz w:val="32"/>
          <w:szCs w:val="32"/>
          <w:lang w:eastAsia="zh-CN"/>
        </w:rPr>
        <w:t>政务</w:t>
      </w:r>
      <w:r>
        <w:rPr>
          <w:rFonts w:hint="eastAsia" w:ascii="仿宋_GB2312" w:hAnsi="仿宋_GB2312" w:eastAsia="仿宋_GB2312" w:cs="仿宋_GB2312"/>
          <w:sz w:val="32"/>
          <w:szCs w:val="32"/>
        </w:rPr>
        <w:t>办工作安排，建立健全政务公开工作机制，</w:t>
      </w:r>
      <w:r>
        <w:rPr>
          <w:rFonts w:hint="eastAsia" w:ascii="仿宋_GB2312" w:hAnsi="仿宋_GB2312" w:eastAsia="仿宋_GB2312" w:cs="仿宋_GB2312"/>
          <w:sz w:val="32"/>
          <w:szCs w:val="32"/>
          <w:lang w:eastAsia="zh-CN"/>
        </w:rPr>
        <w:t>进一步</w:t>
      </w:r>
      <w:r>
        <w:rPr>
          <w:rFonts w:hint="eastAsia" w:ascii="仿宋_GB2312" w:hAnsi="仿宋_GB2312" w:eastAsia="仿宋_GB2312" w:cs="仿宋_GB2312"/>
          <w:sz w:val="32"/>
          <w:szCs w:val="32"/>
        </w:rPr>
        <w:t>科学</w:t>
      </w:r>
      <w:r>
        <w:rPr>
          <w:rFonts w:hint="eastAsia" w:ascii="仿宋_GB2312" w:hAnsi="仿宋_GB2312" w:eastAsia="仿宋_GB2312" w:cs="仿宋_GB2312"/>
          <w:sz w:val="32"/>
          <w:szCs w:val="32"/>
          <w:lang w:eastAsia="zh-CN"/>
        </w:rPr>
        <w:t>细化</w:t>
      </w:r>
      <w:r>
        <w:rPr>
          <w:rFonts w:hint="eastAsia" w:ascii="仿宋_GB2312" w:hAnsi="仿宋_GB2312" w:eastAsia="仿宋_GB2312" w:cs="仿宋_GB2312"/>
          <w:sz w:val="32"/>
          <w:szCs w:val="32"/>
        </w:rPr>
        <w:t>政府信息公开负面清单。二是拓宽信息公开渠道，通过</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网站、微信</w:t>
      </w:r>
      <w:r>
        <w:rPr>
          <w:rFonts w:hint="eastAsia" w:ascii="仿宋_GB2312" w:hAnsi="仿宋_GB2312" w:eastAsia="仿宋_GB2312" w:cs="仿宋_GB2312"/>
          <w:sz w:val="32"/>
          <w:szCs w:val="32"/>
          <w:lang w:eastAsia="zh-CN"/>
        </w:rPr>
        <w:t>公众号“北仑城事”</w:t>
      </w:r>
      <w:r>
        <w:rPr>
          <w:rFonts w:hint="eastAsia" w:ascii="仿宋_GB2312" w:hAnsi="仿宋_GB2312" w:eastAsia="仿宋_GB2312" w:cs="仿宋_GB2312"/>
          <w:sz w:val="32"/>
          <w:szCs w:val="32"/>
        </w:rPr>
        <w:t>发布等大众化信息渠道突出做好各领域的信息公开工作。加强政策解读，特别是多角度、多形式开拓解读新手段，从群众关切的堵点和重点出发，深入解读政策文件内涵，解读更加深度化。三是进一步规范政府网站、政务新媒体互动留言办理工作，安排专人负责日常事务，做好后续跟踪处置。继续加强政务公开信息审核自查工作，对检查中发现的问题和安全隐患第一时间整改，进一步保障信息公开的完整性、及时性、准确性和规范性。</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kern w:val="2"/>
          <w:sz w:val="32"/>
          <w:szCs w:val="32"/>
          <w:lang w:val="en-US" w:eastAsia="zh-CN" w:bidi="ar-SA"/>
        </w:rPr>
      </w:pPr>
      <w:r>
        <w:rPr>
          <w:rFonts w:hint="eastAsia" w:ascii="仿宋_GB2312" w:hAnsi="仿宋_GB2312" w:eastAsia="仿宋_GB2312" w:cs="仿宋_GB2312"/>
          <w:i w:val="0"/>
          <w:kern w:val="2"/>
          <w:sz w:val="32"/>
          <w:szCs w:val="32"/>
          <w:lang w:val="en-US" w:eastAsia="zh-CN" w:bidi="ar-SA"/>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sectPr>
      <w:footerReference r:id="rId3" w:type="default"/>
      <w:pgSz w:w="11906" w:h="16838"/>
      <w:pgMar w:top="1644" w:right="1531" w:bottom="1417"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4C8A1D"/>
    <w:multiLevelType w:val="singleLevel"/>
    <w:tmpl w:val="F84C8A1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zOGIzYjlhOWFmZGQyZTAyOGEyZDI4M2FjNGNmZmQifQ=="/>
  </w:docVars>
  <w:rsids>
    <w:rsidRoot w:val="33180298"/>
    <w:rsid w:val="11BF44A1"/>
    <w:rsid w:val="16B9038D"/>
    <w:rsid w:val="29A433BF"/>
    <w:rsid w:val="2E225C09"/>
    <w:rsid w:val="301A6E79"/>
    <w:rsid w:val="33180298"/>
    <w:rsid w:val="3FF43FD3"/>
    <w:rsid w:val="43B14016"/>
    <w:rsid w:val="55B16E28"/>
    <w:rsid w:val="5BA25C54"/>
    <w:rsid w:val="5FE315A4"/>
    <w:rsid w:val="69496146"/>
    <w:rsid w:val="7CE5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2023-12-11T09:26:00Z</dcterms:created>
  <dc:creator>靓慧</dc:creator>
  <cp:lastModifiedBy>靓慧</cp:lastModifiedBy>
  <dcterms:modified xsi:type="dcterms:W3CDTF">2024-01-11T07:27:28Z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2C55F168842E481F8F6269226F3AA999_11</vt:lpwstr>
  </property>
</Properties>
</file>