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36"/>
          <w:szCs w:val="36"/>
          <w:shd w:val="clear" w:fill="FFFFFF"/>
        </w:rPr>
        <w:br w:type="textWrapping"/>
      </w:r>
      <w:r>
        <w:rPr>
          <w:rFonts w:hint="eastAsia" w:ascii="宋体" w:hAnsi="宋体" w:eastAsia="宋体" w:cs="宋体"/>
          <w:b/>
          <w:i w:val="0"/>
          <w:caps w:val="0"/>
          <w:color w:val="333333"/>
          <w:spacing w:val="0"/>
          <w:sz w:val="36"/>
          <w:szCs w:val="36"/>
          <w:shd w:val="clear" w:fill="FFFFFF"/>
        </w:rPr>
        <w:t>政府信息公开工作年度报告格式模板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一、总体情况</w:t>
      </w:r>
    </w:p>
    <w:p>
      <w:pPr>
        <w:pStyle w:val="2"/>
        <w:keepNext w:val="0"/>
        <w:keepLines w:val="0"/>
        <w:widowControl/>
        <w:suppressLineNumbers w:val="0"/>
        <w:spacing w:before="0" w:beforeAutospacing="0" w:after="0" w:afterAutospacing="0" w:line="15" w:lineRule="atLeast"/>
        <w:ind w:right="0" w:firstLine="600" w:firstLineChars="200"/>
        <w:jc w:val="left"/>
        <w:rPr>
          <w:rFonts w:hint="eastAsia" w:ascii="仿宋_GB2312" w:hAnsi="仿宋_GB2312" w:eastAsia="仿宋_GB2312" w:cs="仿宋_GB2312"/>
          <w:color w:val="333333"/>
          <w:sz w:val="30"/>
          <w:szCs w:val="30"/>
          <w:shd w:val="clear" w:fill="FFFFFF"/>
          <w:lang w:val="en-US" w:eastAsia="zh-CN"/>
        </w:rPr>
      </w:pPr>
      <w:r>
        <w:rPr>
          <w:rFonts w:hint="eastAsia" w:ascii="仿宋_GB2312" w:hAnsi="仿宋_GB2312" w:eastAsia="仿宋_GB2312" w:cs="仿宋_GB2312"/>
          <w:color w:val="333333"/>
          <w:sz w:val="30"/>
          <w:szCs w:val="30"/>
          <w:shd w:val="clear" w:fill="FFFFFF"/>
        </w:rPr>
        <w:t>202</w:t>
      </w:r>
      <w:r>
        <w:rPr>
          <w:rFonts w:hint="eastAsia" w:ascii="仿宋_GB2312" w:hAnsi="仿宋_GB2312" w:eastAsia="仿宋_GB2312" w:cs="仿宋_GB2312"/>
          <w:color w:val="333333"/>
          <w:sz w:val="30"/>
          <w:szCs w:val="30"/>
          <w:shd w:val="clear" w:fill="FFFFFF"/>
          <w:lang w:val="en-US" w:eastAsia="zh-CN"/>
        </w:rPr>
        <w:t>1</w:t>
      </w:r>
      <w:r>
        <w:rPr>
          <w:rFonts w:hint="eastAsia" w:ascii="仿宋_GB2312" w:hAnsi="仿宋_GB2312" w:eastAsia="仿宋_GB2312" w:cs="仿宋_GB2312"/>
          <w:color w:val="333333"/>
          <w:sz w:val="30"/>
          <w:szCs w:val="30"/>
          <w:shd w:val="clear" w:fill="FFFFFF"/>
        </w:rPr>
        <w:t>年</w:t>
      </w:r>
      <w:r>
        <w:rPr>
          <w:rFonts w:hint="eastAsia" w:ascii="仿宋_GB2312" w:hAnsi="仿宋_GB2312" w:eastAsia="仿宋_GB2312" w:cs="仿宋_GB2312"/>
          <w:color w:val="333333"/>
          <w:sz w:val="30"/>
          <w:szCs w:val="30"/>
          <w:shd w:val="clear" w:fill="FFFFFF"/>
          <w:lang w:eastAsia="zh-CN"/>
        </w:rPr>
        <w:t>，</w:t>
      </w:r>
      <w:r>
        <w:rPr>
          <w:rFonts w:hint="eastAsia" w:ascii="仿宋_GB2312" w:hAnsi="仿宋_GB2312" w:eastAsia="仿宋_GB2312" w:cs="仿宋_GB2312"/>
          <w:color w:val="333333"/>
          <w:sz w:val="30"/>
          <w:szCs w:val="30"/>
          <w:shd w:val="clear" w:fill="FFFFFF"/>
          <w:lang w:val="en-US" w:eastAsia="zh-CN"/>
        </w:rPr>
        <w:t>宁波市自然资源和规划局北仑分局</w:t>
      </w:r>
      <w:r>
        <w:rPr>
          <w:rFonts w:hint="eastAsia" w:ascii="仿宋_GB2312" w:hAnsi="仿宋_GB2312" w:eastAsia="仿宋_GB2312" w:cs="仿宋_GB2312"/>
          <w:color w:val="333333"/>
          <w:sz w:val="30"/>
          <w:szCs w:val="30"/>
          <w:shd w:val="clear" w:fill="FFFFFF"/>
        </w:rPr>
        <w:t>以习近平新时代中国特色</w:t>
      </w:r>
      <w:r>
        <w:rPr>
          <w:rFonts w:hint="eastAsia" w:ascii="仿宋_GB2312" w:hAnsi="仿宋_GB2312" w:eastAsia="仿宋_GB2312" w:cs="仿宋_GB2312"/>
          <w:color w:val="333333"/>
          <w:sz w:val="30"/>
          <w:szCs w:val="30"/>
          <w:shd w:val="clear" w:fill="FFFFFF"/>
          <w:lang w:val="en-US" w:eastAsia="zh-CN"/>
        </w:rPr>
        <w:t>社会主义思想为指导，深入贯彻</w:t>
      </w:r>
      <w:r>
        <w:rPr>
          <w:rFonts w:hint="eastAsia" w:ascii="仿宋_GB2312" w:hAnsi="仿宋_GB2312" w:eastAsia="仿宋_GB2312" w:cs="仿宋_GB2312"/>
          <w:color w:val="333333"/>
          <w:sz w:val="30"/>
          <w:szCs w:val="30"/>
          <w:shd w:val="clear" w:fill="FFFFFF"/>
          <w:lang w:val="en-US" w:eastAsia="zh-CN"/>
        </w:rPr>
        <w:t>落实《中华人民共和国政府信息公开条例》</w:t>
      </w:r>
      <w:r>
        <w:rPr>
          <w:rFonts w:hint="eastAsia" w:ascii="仿宋_GB2312" w:hAnsi="仿宋_GB2312" w:eastAsia="仿宋_GB2312" w:cs="仿宋_GB2312"/>
          <w:color w:val="333333"/>
          <w:sz w:val="30"/>
          <w:szCs w:val="30"/>
          <w:shd w:val="clear" w:fill="FFFFFF"/>
          <w:lang w:val="en-US" w:eastAsia="zh-CN"/>
        </w:rPr>
        <w:t>和《</w:t>
      </w:r>
      <w:r>
        <w:rPr>
          <w:rFonts w:hint="eastAsia" w:ascii="仿宋_GB2312" w:hAnsi="仿宋_GB2312" w:eastAsia="仿宋_GB2312" w:cs="仿宋_GB2312"/>
          <w:color w:val="333333"/>
          <w:sz w:val="30"/>
          <w:szCs w:val="30"/>
          <w:shd w:val="clear" w:fill="FFFFFF"/>
          <w:lang w:val="en-US" w:eastAsia="zh-CN"/>
        </w:rPr>
        <w:t>宁波市政府信息公开规定》</w:t>
      </w:r>
      <w:r>
        <w:rPr>
          <w:rFonts w:hint="eastAsia" w:ascii="仿宋_GB2312" w:hAnsi="仿宋_GB2312" w:eastAsia="仿宋_GB2312" w:cs="仿宋_GB2312"/>
          <w:color w:val="333333"/>
          <w:sz w:val="30"/>
          <w:szCs w:val="30"/>
          <w:shd w:val="clear" w:fill="FFFFFF"/>
          <w:lang w:val="en-US" w:eastAsia="zh-CN"/>
        </w:rPr>
        <w:t>文件精神，聚焦自然资源领域中心工作，进一步规范公开内容、完善公开制度、优化公开平台、增强公开实效，不断提升政务公开的质量和实效。</w:t>
      </w:r>
    </w:p>
    <w:p>
      <w:pPr>
        <w:pStyle w:val="2"/>
        <w:keepNext w:val="0"/>
        <w:keepLines w:val="0"/>
        <w:widowControl/>
        <w:suppressLineNumbers w:val="0"/>
        <w:spacing w:before="0" w:beforeAutospacing="0" w:after="0" w:afterAutospacing="0" w:line="15" w:lineRule="atLeast"/>
        <w:ind w:right="0" w:firstLine="600" w:firstLineChars="200"/>
        <w:jc w:val="left"/>
        <w:rPr>
          <w:rFonts w:hint="eastAsia" w:ascii="仿宋_GB2312" w:hAnsi="仿宋_GB2312" w:eastAsia="仿宋_GB2312" w:cs="仿宋_GB2312"/>
          <w:i w:val="0"/>
          <w:caps w:val="0"/>
          <w:color w:val="333333"/>
          <w:spacing w:val="0"/>
          <w:sz w:val="30"/>
          <w:szCs w:val="30"/>
          <w:shd w:val="clear" w:fill="FFFFFF"/>
          <w:lang w:val="en-US" w:eastAsia="zh-CN"/>
        </w:rPr>
      </w:pPr>
      <w:r>
        <w:rPr>
          <w:rFonts w:hint="eastAsia" w:ascii="仿宋_GB2312" w:hAnsi="仿宋_GB2312" w:eastAsia="仿宋_GB2312" w:cs="仿宋_GB2312"/>
          <w:i w:val="0"/>
          <w:caps w:val="0"/>
          <w:color w:val="333333"/>
          <w:spacing w:val="0"/>
          <w:sz w:val="30"/>
          <w:szCs w:val="30"/>
          <w:shd w:val="clear" w:fill="FFFFFF"/>
          <w:lang w:val="en-US" w:eastAsia="zh-CN"/>
        </w:rPr>
        <w:t>截止2021年12月31日，全年主动公开政府信息数</w:t>
      </w:r>
      <w:r>
        <w:rPr>
          <w:rFonts w:hint="eastAsia" w:ascii="仿宋_GB2312" w:hAnsi="仿宋_GB2312" w:eastAsia="仿宋_GB2312" w:cs="仿宋_GB2312"/>
          <w:i w:val="0"/>
          <w:caps w:val="0"/>
          <w:color w:val="333333"/>
          <w:spacing w:val="0"/>
          <w:sz w:val="30"/>
          <w:szCs w:val="30"/>
          <w:shd w:val="clear" w:fill="FFFFFF"/>
          <w:lang w:val="en-US" w:eastAsia="zh-CN"/>
        </w:rPr>
        <w:t>达1404条，办理依申请公开政府信息67条。全年没有发生因政务公开工作被追究责任的情况。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二、主动公开政府信息情况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tbl>
      <w:tblPr>
        <w:tblStyle w:val="3"/>
        <w:tblW w:w="97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35"/>
        <w:gridCol w:w="2435"/>
        <w:gridCol w:w="2435"/>
        <w:gridCol w:w="24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信息内容</w:t>
            </w:r>
          </w:p>
        </w:tc>
        <w:tc>
          <w:tcPr>
            <w:tcW w:w="243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本年</w:t>
            </w:r>
            <w:r>
              <w:rPr>
                <w:rFonts w:hint="eastAsia" w:ascii="宋体" w:hAnsi="宋体" w:eastAsia="宋体" w:cs="宋体"/>
                <w:kern w:val="0"/>
                <w:sz w:val="20"/>
                <w:szCs w:val="20"/>
                <w:lang w:val="en-US" w:eastAsia="zh-CN" w:bidi="ar"/>
              </w:rPr>
              <w:t>制发件数</w:t>
            </w:r>
          </w:p>
        </w:tc>
        <w:tc>
          <w:tcPr>
            <w:tcW w:w="243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本年废止件数</w:t>
            </w:r>
          </w:p>
        </w:tc>
        <w:tc>
          <w:tcPr>
            <w:tcW w:w="243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现行有效件</w:t>
            </w:r>
            <w:r>
              <w:rPr>
                <w:rFonts w:hint="eastAsia" w:ascii="宋体" w:hAnsi="宋体" w:eastAsia="宋体" w:cs="宋体"/>
                <w:kern w:val="0"/>
                <w:sz w:val="20"/>
                <w:szCs w:val="20"/>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0"/>
                <w:szCs w:val="20"/>
                <w:lang w:val="en-US" w:eastAsia="zh-CN" w:bidi="ar"/>
              </w:rPr>
              <w:t>规章</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0"/>
                <w:szCs w:val="20"/>
                <w:lang w:val="en-US" w:eastAsia="zh-CN" w:bidi="ar"/>
              </w:rPr>
              <w:t>行政规范性文件</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信息内容</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0"/>
                <w:szCs w:val="20"/>
                <w:lang w:val="en-US" w:eastAsia="zh-CN" w:bidi="ar"/>
              </w:rPr>
              <w:t>行政许可</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eastAsiaTheme="minorEastAsia"/>
                <w:lang w:val="en-US" w:eastAsia="zh-CN"/>
              </w:rPr>
            </w:pPr>
            <w:r>
              <w:rPr>
                <w:rFonts w:hint="eastAsia"/>
                <w:lang w:val="en-US" w:eastAsia="zh-CN"/>
              </w:rPr>
              <w:t>6900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信息内容</w:t>
            </w:r>
          </w:p>
        </w:tc>
        <w:tc>
          <w:tcPr>
            <w:tcW w:w="730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0"/>
                <w:szCs w:val="20"/>
                <w:lang w:val="en-US" w:eastAsia="zh-CN" w:bidi="ar"/>
              </w:rPr>
              <w:t>行政处罚</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eastAsia="zh-CN"/>
              </w:rPr>
            </w:pPr>
            <w:r>
              <w:rPr>
                <w:rFonts w:hint="eastAsia"/>
                <w:lang w:val="en-US" w:eastAsia="zh-CN"/>
              </w:rPr>
              <w:t>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0"/>
                <w:szCs w:val="20"/>
                <w:lang w:val="en-US" w:eastAsia="zh-CN" w:bidi="ar"/>
              </w:rPr>
              <w:t>行政强制</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eastAsia="zh-CN"/>
              </w:rPr>
            </w:pPr>
            <w:r>
              <w:rPr>
                <w:rFonts w:hint="eastAsia"/>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信息内容</w:t>
            </w:r>
          </w:p>
        </w:tc>
        <w:tc>
          <w:tcPr>
            <w:tcW w:w="730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0"/>
                <w:szCs w:val="20"/>
                <w:lang w:val="en-US" w:eastAsia="zh-CN" w:bidi="ar"/>
              </w:rPr>
              <w:t>行政事业性收费</w:t>
            </w:r>
          </w:p>
        </w:tc>
        <w:tc>
          <w:tcPr>
            <w:tcW w:w="730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jc w:val="center"/>
              <w:rPr>
                <w:rFonts w:hint="default" w:ascii="宋体" w:eastAsiaTheme="minorEastAsia"/>
                <w:sz w:val="24"/>
                <w:szCs w:val="24"/>
                <w:lang w:val="en-US" w:eastAsia="zh-CN"/>
              </w:rPr>
            </w:pPr>
            <w:r>
              <w:rPr>
                <w:rFonts w:hint="eastAsia"/>
                <w:lang w:val="en-US" w:eastAsia="zh-CN"/>
              </w:rPr>
              <w:t>5561.9264</w:t>
            </w:r>
          </w:p>
        </w:tc>
      </w:tr>
    </w:tbl>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三、收到和处理政府信息公开申请情况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tbl>
      <w:tblPr>
        <w:tblStyle w:val="3"/>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766"/>
        <w:gridCol w:w="943"/>
        <w:gridCol w:w="3217"/>
        <w:gridCol w:w="691"/>
        <w:gridCol w:w="688"/>
        <w:gridCol w:w="688"/>
        <w:gridCol w:w="688"/>
        <w:gridCol w:w="688"/>
        <w:gridCol w:w="688"/>
        <w:gridCol w:w="69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26"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楷体" w:hAnsi="楷体" w:eastAsia="楷体" w:cs="楷体"/>
                <w:kern w:val="0"/>
                <w:sz w:val="20"/>
                <w:szCs w:val="20"/>
                <w:lang w:val="en-US" w:eastAsia="zh-CN" w:bidi="ar"/>
              </w:rPr>
              <w:t>（本列数据的勾稽关系为：第一项加第二项之和，等于第三项加第四项之和）</w:t>
            </w:r>
          </w:p>
        </w:tc>
        <w:tc>
          <w:tcPr>
            <w:tcW w:w="4822"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26"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691"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自然人</w:t>
            </w:r>
          </w:p>
        </w:tc>
        <w:tc>
          <w:tcPr>
            <w:tcW w:w="3440"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法人或其他组织</w:t>
            </w:r>
          </w:p>
        </w:tc>
        <w:tc>
          <w:tcPr>
            <w:tcW w:w="69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26"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691"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商业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企业</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科研</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机构</w:t>
            </w:r>
          </w:p>
        </w:tc>
        <w:tc>
          <w:tcPr>
            <w:tcW w:w="68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社会公益组织</w:t>
            </w:r>
          </w:p>
        </w:tc>
        <w:tc>
          <w:tcPr>
            <w:tcW w:w="68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法律服务机构</w:t>
            </w:r>
          </w:p>
        </w:tc>
        <w:tc>
          <w:tcPr>
            <w:tcW w:w="68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其他</w:t>
            </w:r>
          </w:p>
        </w:tc>
        <w:tc>
          <w:tcPr>
            <w:tcW w:w="691"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26"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一、本年新收政府信息公开申请数量</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Calibri" w:hAnsi="Calibri" w:cs="Calibri"/>
                <w:kern w:val="0"/>
                <w:sz w:val="20"/>
                <w:szCs w:val="20"/>
                <w:lang w:val="en-US" w:eastAsia="zh-CN" w:bidi="ar"/>
              </w:rPr>
              <w:t>66</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1</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Calibri" w:hAnsi="Calibri" w:cs="Calibri"/>
                <w:kern w:val="0"/>
                <w:sz w:val="20"/>
                <w:szCs w:val="20"/>
                <w:lang w:val="en-US" w:eastAsia="zh-CN" w:bidi="ar"/>
              </w:rPr>
              <w:t>67</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26"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二、上年结转政府信息公开申请数量</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6"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三、本年度办理结果</w:t>
            </w:r>
          </w:p>
        </w:tc>
        <w:tc>
          <w:tcPr>
            <w:tcW w:w="416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（一）予以公开</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Calibri" w:hAnsi="Calibri" w:cs="Calibri"/>
                <w:kern w:val="0"/>
                <w:sz w:val="20"/>
                <w:szCs w:val="20"/>
                <w:lang w:val="en-US" w:eastAsia="zh-CN" w:bidi="ar"/>
              </w:rPr>
              <w:t>12</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9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Calibri" w:hAnsi="Calibri" w:cs="Calibri"/>
                <w:kern w:val="0"/>
                <w:sz w:val="20"/>
                <w:szCs w:val="20"/>
                <w:lang w:val="en-US" w:eastAsia="zh-CN" w:bidi="ar"/>
              </w:rPr>
              <w:t>12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6"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416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（二）部分公开</w:t>
            </w:r>
            <w:r>
              <w:rPr>
                <w:rFonts w:hint="eastAsia" w:ascii="楷体" w:hAnsi="楷体" w:eastAsia="楷体" w:cs="楷体"/>
                <w:kern w:val="0"/>
                <w:sz w:val="20"/>
                <w:szCs w:val="20"/>
                <w:lang w:val="en-US" w:eastAsia="zh-CN" w:bidi="ar"/>
              </w:rPr>
              <w:t>（区分处理的，只计这一情形，不计其他情形）</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Calibri" w:hAnsi="Calibri" w:cs="Calibri"/>
                <w:kern w:val="0"/>
                <w:sz w:val="20"/>
                <w:szCs w:val="20"/>
                <w:lang w:val="en-US" w:eastAsia="zh-CN" w:bidi="ar"/>
              </w:rPr>
              <w:t>5</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1</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Calibri" w:hAnsi="Calibri" w:cs="Calibri"/>
                <w:kern w:val="0"/>
                <w:sz w:val="20"/>
                <w:szCs w:val="20"/>
                <w:lang w:val="en-US" w:eastAsia="zh-CN" w:bidi="ar"/>
              </w:rPr>
              <w:t>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6"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（三）不予公开</w:t>
            </w:r>
          </w:p>
        </w:tc>
        <w:tc>
          <w:tcPr>
            <w:tcW w:w="321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1.属于国家秘密</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1"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6"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321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2.其他法律行政法规禁止公开</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6"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321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3.危及“三安全一稳定”</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6"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321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4.保护第三方合法权益</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6"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321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5.属于三类内部事务信息</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6"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321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6.属于四类过程性信息</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6"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321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7.属于行政执法案卷</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6"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321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8.属于行政查询事项</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6"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（四）无法提供</w:t>
            </w:r>
          </w:p>
        </w:tc>
        <w:tc>
          <w:tcPr>
            <w:tcW w:w="321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1.本机关不掌握相关政府信息</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Calibri" w:hAnsi="Calibri" w:cs="Calibri"/>
                <w:kern w:val="0"/>
                <w:sz w:val="20"/>
                <w:szCs w:val="20"/>
                <w:lang w:val="en-US" w:eastAsia="zh-CN" w:bidi="ar"/>
              </w:rPr>
              <w:t>42</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42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6"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321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2.没有现成信息需要另行制作</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6"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321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3.补正后申请内容仍不明确</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6"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（五）不予处理</w:t>
            </w:r>
          </w:p>
        </w:tc>
        <w:tc>
          <w:tcPr>
            <w:tcW w:w="321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1.信访举报投诉类申请</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6"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321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2.重复申请</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3</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Calibri" w:hAnsi="Calibri" w:cs="Calibri"/>
                <w:kern w:val="0"/>
                <w:sz w:val="20"/>
                <w:szCs w:val="20"/>
                <w:lang w:val="en-US" w:eastAsia="zh-CN" w:bidi="ar"/>
              </w:rPr>
              <w:t>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6"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321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3.要求提供公开出版物</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6"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321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4.无正当理由大量反复申请</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779" w:hRule="atLeast"/>
          <w:jc w:val="center"/>
        </w:trPr>
        <w:tc>
          <w:tcPr>
            <w:tcW w:w="766"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3217"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kern w:val="0"/>
                <w:sz w:val="20"/>
                <w:szCs w:val="20"/>
                <w:lang w:val="en-US" w:eastAsia="zh-CN" w:bidi="ar"/>
              </w:rPr>
              <w:t>5.要求行政机关确认或重新出具已获取信息</w:t>
            </w:r>
          </w:p>
        </w:tc>
        <w:tc>
          <w:tcPr>
            <w:tcW w:w="691"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1"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6"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restart"/>
            <w:tcBorders>
              <w:top w:val="outset"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（六）其他处理</w:t>
            </w:r>
          </w:p>
        </w:tc>
        <w:tc>
          <w:tcPr>
            <w:tcW w:w="321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kern w:val="0"/>
                <w:sz w:val="20"/>
                <w:szCs w:val="20"/>
                <w:lang w:val="en-US" w:eastAsia="zh-CN" w:bidi="ar"/>
              </w:rPr>
              <w:t>1.申请人无正当理由逾期不补正、行政机关不再处理其政府信息公开申请</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4</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6"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continue"/>
            <w:tcBorders>
              <w:top w:val="outset" w:color="auto" w:sz="8" w:space="0"/>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321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kern w:val="0"/>
                <w:sz w:val="20"/>
                <w:szCs w:val="20"/>
                <w:lang w:val="en-US" w:eastAsia="zh-CN" w:bidi="ar"/>
              </w:rPr>
              <w:t>2.申请人逾期未按收费通知要求缴纳费用、行政机关不再处理其政府信息公开申请</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6"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943" w:type="dxa"/>
            <w:vMerge w:val="continue"/>
            <w:tcBorders>
              <w:top w:val="outset" w:color="auto" w:sz="8" w:space="0"/>
              <w:left w:val="nil"/>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321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3.其他</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6"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rPr>
                <w:rFonts w:hint="eastAsia" w:ascii="宋体"/>
                <w:sz w:val="24"/>
                <w:szCs w:val="24"/>
              </w:rPr>
            </w:pPr>
          </w:p>
        </w:tc>
        <w:tc>
          <w:tcPr>
            <w:tcW w:w="416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（七）总计</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Calibri" w:hAnsi="Calibri" w:cs="Calibri"/>
                <w:kern w:val="0"/>
                <w:sz w:val="20"/>
                <w:szCs w:val="20"/>
                <w:lang w:val="en-US" w:eastAsia="zh-CN" w:bidi="ar"/>
              </w:rPr>
              <w:t>66</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1</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Calibri" w:hAnsi="Calibri" w:cs="Calibri"/>
                <w:kern w:val="0"/>
                <w:sz w:val="20"/>
                <w:szCs w:val="20"/>
                <w:lang w:val="en-US" w:eastAsia="zh-CN" w:bidi="ar"/>
              </w:rPr>
              <w:t>67</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26"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四、结转下年度继续办理</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lang w:val="en-US"/>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asciiTheme="minorHAnsi" w:hAnsiTheme="minorHAnsi" w:eastAsiaTheme="minorEastAsia" w:cstheme="minorBidi"/>
                <w:kern w:val="2"/>
                <w:sz w:val="21"/>
                <w:szCs w:val="24"/>
                <w:lang w:val="en-US" w:eastAsia="zh-CN" w:bidi="ar-SA"/>
              </w:rP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9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Calibri" w:hAnsi="Calibri" w:cs="Calibri"/>
                <w:kern w:val="0"/>
                <w:sz w:val="20"/>
                <w:szCs w:val="20"/>
                <w:lang w:val="en-US" w:eastAsia="zh-CN" w:bidi="ar"/>
              </w:rPr>
            </w:pPr>
            <w:r>
              <w:rPr>
                <w:rFonts w:hint="eastAsia" w:ascii="Calibri" w:hAnsi="Calibri" w:cs="Calibri"/>
                <w:kern w:val="0"/>
                <w:sz w:val="20"/>
                <w:szCs w:val="20"/>
                <w:lang w:val="en-US" w:eastAsia="zh-CN" w:bidi="ar"/>
              </w:rPr>
              <w:t>0</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四、政府信息公开行政复议、行政诉讼情况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p>
    <w:tbl>
      <w:tblPr>
        <w:tblStyle w:val="3"/>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行政复议</w:t>
            </w:r>
          </w:p>
        </w:tc>
        <w:tc>
          <w:tcPr>
            <w:tcW w:w="6428"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结果维持</w:t>
            </w:r>
          </w:p>
        </w:tc>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总计</w:t>
            </w:r>
          </w:p>
        </w:tc>
        <w:tc>
          <w:tcPr>
            <w:tcW w:w="3213"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维持</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总计</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维持</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其他</w:t>
            </w:r>
            <w:r>
              <w:rPr>
                <w:rFonts w:hint="eastAsia" w:ascii="宋体" w:hAnsi="宋体" w:eastAsia="宋体" w:cs="宋体"/>
                <w:color w:val="000000"/>
                <w:kern w:val="0"/>
                <w:sz w:val="20"/>
                <w:szCs w:val="20"/>
                <w:lang w:val="en-US" w:eastAsia="zh-CN" w:bidi="ar"/>
              </w:rPr>
              <w:br w:type="textWrapping"/>
            </w:r>
            <w:r>
              <w:rPr>
                <w:rFonts w:hint="eastAsia" w:ascii="宋体" w:hAnsi="宋体" w:eastAsia="宋体" w:cs="宋体"/>
                <w:color w:val="000000"/>
                <w:kern w:val="0"/>
                <w:sz w:val="20"/>
                <w:szCs w:val="20"/>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jc w:val="center"/>
            </w:pPr>
            <w:r>
              <w:rPr>
                <w:rFonts w:hint="eastAsia" w:ascii="仿宋_GB2312" w:hAnsi="仿宋_GB2312" w:eastAsia="仿宋_GB2312" w:cs="仿宋_GB2312"/>
                <w:color w:val="auto"/>
                <w:sz w:val="24"/>
                <w:lang w:val="en-US" w:eastAsia="zh-CN"/>
              </w:rPr>
              <w:t>1</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jc w:val="center"/>
            </w:pPr>
            <w:r>
              <w:rPr>
                <w:rFonts w:hint="eastAsia" w:ascii="仿宋_GB2312" w:hAnsi="仿宋_GB2312" w:eastAsia="仿宋_GB2312" w:cs="仿宋_GB2312"/>
                <w:color w:val="auto"/>
                <w:sz w:val="24"/>
                <w:lang w:val="en-US" w:eastAsia="zh-CN"/>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jc w:val="center"/>
            </w:pPr>
            <w:r>
              <w:rPr>
                <w:rFonts w:hint="eastAsia" w:ascii="仿宋_GB2312" w:hAnsi="仿宋_GB2312" w:eastAsia="仿宋_GB2312" w:cs="仿宋_GB2312"/>
                <w:color w:val="auto"/>
                <w:sz w:val="24"/>
                <w:lang w:val="en-US" w:eastAsia="zh-CN"/>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jc w:val="center"/>
            </w:pPr>
            <w:r>
              <w:rPr>
                <w:rFonts w:hint="eastAsia" w:ascii="仿宋_GB2312" w:hAnsi="仿宋_GB2312" w:eastAsia="仿宋_GB2312" w:cs="仿宋_GB2312"/>
                <w:color w:val="auto"/>
                <w:sz w:val="24"/>
                <w:lang w:val="en-US" w:eastAsia="zh-CN"/>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jc w:val="center"/>
            </w:pPr>
            <w:r>
              <w:rPr>
                <w:rFonts w:hint="eastAsia" w:ascii="仿宋_GB2312" w:hAnsi="仿宋_GB2312" w:eastAsia="仿宋_GB2312" w:cs="仿宋_GB2312"/>
                <w:color w:val="auto"/>
                <w:sz w:val="24"/>
                <w:lang w:val="en-US" w:eastAsia="zh-CN"/>
              </w:rPr>
              <w:t>1</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jc w:val="center"/>
            </w:pPr>
            <w:r>
              <w:rPr>
                <w:rFonts w:hint="eastAsia" w:ascii="仿宋_GB2312" w:hAnsi="仿宋_GB2312" w:eastAsia="仿宋_GB2312" w:cs="仿宋_GB2312"/>
                <w:color w:val="auto"/>
                <w:sz w:val="24"/>
                <w:lang w:val="en-US" w:eastAsia="zh-CN"/>
              </w:rPr>
              <w:t>14</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jc w:val="center"/>
            </w:pPr>
            <w:r>
              <w:rPr>
                <w:rFonts w:hint="eastAsia" w:ascii="仿宋_GB2312" w:hAnsi="仿宋_GB2312" w:eastAsia="仿宋_GB2312" w:cs="仿宋_GB2312"/>
                <w:color w:val="auto"/>
                <w:sz w:val="24"/>
                <w:lang w:val="en-US" w:eastAsia="zh-CN"/>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jc w:val="center"/>
            </w:pPr>
            <w:r>
              <w:rPr>
                <w:rFonts w:hint="eastAsia" w:ascii="仿宋_GB2312" w:hAnsi="仿宋_GB2312" w:eastAsia="仿宋_GB2312" w:cs="仿宋_GB2312"/>
                <w:color w:val="auto"/>
                <w:sz w:val="24"/>
                <w:lang w:val="en-US" w:eastAsia="zh-CN"/>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jc w:val="center"/>
            </w:pPr>
            <w:r>
              <w:rPr>
                <w:rFonts w:hint="eastAsia" w:ascii="仿宋_GB2312" w:hAnsi="仿宋_GB2312" w:eastAsia="仿宋_GB2312" w:cs="仿宋_GB2312"/>
                <w:color w:val="auto"/>
                <w:sz w:val="24"/>
                <w:lang w:val="en-US" w:eastAsia="zh-CN"/>
              </w:rPr>
              <w:t>5</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jc w:val="center"/>
            </w:pPr>
            <w:r>
              <w:rPr>
                <w:rFonts w:hint="eastAsia" w:ascii="仿宋_GB2312" w:hAnsi="仿宋_GB2312" w:eastAsia="仿宋_GB2312" w:cs="仿宋_GB2312"/>
                <w:color w:val="auto"/>
                <w:sz w:val="24"/>
                <w:lang w:val="en-US" w:eastAsia="zh-CN"/>
              </w:rPr>
              <w:t>19</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jc w:val="center"/>
            </w:pPr>
            <w:r>
              <w:rPr>
                <w:rFonts w:hint="eastAsia" w:ascii="仿宋_GB2312" w:hAnsi="仿宋_GB2312" w:eastAsia="仿宋_GB2312" w:cs="仿宋_GB2312"/>
                <w:color w:val="auto"/>
                <w:sz w:val="24"/>
                <w:lang w:val="en-US" w:eastAsia="zh-CN"/>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jc w:val="center"/>
            </w:pPr>
            <w:r>
              <w:rPr>
                <w:rFonts w:hint="eastAsia" w:ascii="仿宋_GB2312" w:hAnsi="仿宋_GB2312" w:eastAsia="仿宋_GB2312" w:cs="仿宋_GB2312"/>
                <w:color w:val="auto"/>
                <w:sz w:val="24"/>
                <w:lang w:val="en-US" w:eastAsia="zh-CN"/>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jc w:val="center"/>
            </w:pPr>
            <w:r>
              <w:rPr>
                <w:rFonts w:hint="eastAsia" w:ascii="仿宋_GB2312" w:hAnsi="仿宋_GB2312" w:eastAsia="仿宋_GB2312" w:cs="仿宋_GB2312"/>
                <w:color w:val="auto"/>
                <w:sz w:val="24"/>
                <w:lang w:val="en-US" w:eastAsia="zh-CN"/>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jc w:val="center"/>
            </w:pPr>
            <w:r>
              <w:rPr>
                <w:rFonts w:hint="eastAsia" w:ascii="仿宋_GB2312" w:hAnsi="仿宋_GB2312" w:eastAsia="仿宋_GB2312" w:cs="仿宋_GB2312"/>
                <w:color w:val="auto"/>
                <w:sz w:val="24"/>
                <w:lang w:val="en-US" w:eastAsia="zh-CN"/>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jc w:val="center"/>
              <w:rPr>
                <w:rFonts w:hint="eastAsia" w:ascii="宋体"/>
                <w:sz w:val="24"/>
                <w:szCs w:val="24"/>
              </w:rPr>
            </w:pPr>
            <w:r>
              <w:rPr>
                <w:rFonts w:hint="eastAsia" w:ascii="仿宋_GB2312" w:hAnsi="仿宋_GB2312" w:eastAsia="仿宋_GB2312" w:cs="仿宋_GB2312"/>
                <w:color w:val="auto"/>
                <w:sz w:val="24"/>
                <w:lang w:val="en-US" w:eastAsia="zh-CN"/>
              </w:rPr>
              <w:t>0</w:t>
            </w:r>
          </w:p>
        </w:tc>
      </w:tr>
    </w:tbl>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五、存在的主要问题及改进情况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480"/>
        <w:jc w:val="left"/>
        <w:rPr>
          <w:rFonts w:ascii="微软雅黑" w:hAnsi="微软雅黑" w:eastAsia="微软雅黑" w:cs="微软雅黑"/>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我局存在信息公开工作宣传不足、公开内容更新不及时等问题，需要在以后的工作中不断完善和改进。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2022年，我们将进一步加大信息公开工作宣传力度，让社会公众更深入的了解和熟悉。二是进一步加大信息公开队伍建设力度。加强对信息人员的教育培训，全面提升信息公开工作质量和水平。</w:t>
      </w:r>
    </w:p>
    <w:p>
      <w:pPr>
        <w:rPr>
          <w:rFonts w:hint="eastAsia" w:ascii="宋体" w:hAnsi="宋体" w:eastAsia="宋体" w:cs="宋体"/>
          <w:b/>
          <w:i w:val="0"/>
          <w:caps w:val="0"/>
          <w:color w:val="333333"/>
          <w:spacing w:val="0"/>
          <w:kern w:val="0"/>
          <w:sz w:val="24"/>
          <w:szCs w:val="24"/>
          <w:shd w:val="clear" w:fill="FFFFFF"/>
          <w:lang w:val="en-US" w:eastAsia="zh-CN" w:bidi="ar"/>
        </w:rPr>
      </w:pPr>
    </w:p>
    <w:p>
      <w:pPr>
        <w:numPr>
          <w:ilvl w:val="0"/>
          <w:numId w:val="1"/>
        </w:numPr>
        <w:ind w:firstLine="482" w:firstLineChars="200"/>
        <w:rPr>
          <w:rFonts w:hint="eastAsia" w:ascii="宋体" w:hAnsi="宋体" w:eastAsia="宋体" w:cs="宋体"/>
          <w:b/>
          <w:i w:val="0"/>
          <w:caps w:val="0"/>
          <w:color w:val="333333"/>
          <w:spacing w:val="0"/>
          <w:kern w:val="0"/>
          <w:sz w:val="24"/>
          <w:szCs w:val="24"/>
          <w:shd w:val="clear" w:fill="FFFFFF"/>
          <w:lang w:val="en-US" w:eastAsia="zh-CN" w:bidi="ar"/>
        </w:rPr>
      </w:pPr>
      <w:r>
        <w:rPr>
          <w:rFonts w:hint="eastAsia" w:ascii="宋体" w:hAnsi="宋体" w:eastAsia="宋体" w:cs="宋体"/>
          <w:b/>
          <w:i w:val="0"/>
          <w:caps w:val="0"/>
          <w:color w:val="333333"/>
          <w:spacing w:val="0"/>
          <w:kern w:val="0"/>
          <w:sz w:val="24"/>
          <w:szCs w:val="24"/>
          <w:shd w:val="clear" w:fill="FFFFFF"/>
          <w:lang w:val="en-US" w:eastAsia="zh-CN" w:bidi="ar"/>
        </w:rPr>
        <w:t>其他需要报告的事项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480" w:firstLineChars="200"/>
        <w:jc w:val="left"/>
        <w:rPr>
          <w:rFonts w:hint="eastAsia" w:ascii="宋体" w:hAnsi="宋体" w:eastAsia="宋体" w:cs="宋体"/>
          <w:i w:val="0"/>
          <w:caps w:val="0"/>
          <w:color w:val="333333"/>
          <w:spacing w:val="0"/>
          <w:kern w:val="0"/>
          <w:sz w:val="24"/>
          <w:szCs w:val="24"/>
          <w:shd w:val="clear" w:fill="FFFFFF"/>
          <w:lang w:val="en-US" w:eastAsia="zh-CN" w:bidi="ar"/>
        </w:rPr>
      </w:pPr>
      <w:r>
        <w:rPr>
          <w:rFonts w:hint="eastAsia" w:ascii="宋体" w:hAnsi="宋体" w:eastAsia="宋体" w:cs="宋体"/>
          <w:i w:val="0"/>
          <w:caps w:val="0"/>
          <w:color w:val="333333"/>
          <w:spacing w:val="0"/>
          <w:kern w:val="0"/>
          <w:sz w:val="24"/>
          <w:szCs w:val="24"/>
          <w:shd w:val="clear" w:fill="FFFFFF"/>
          <w:lang w:val="en-US" w:eastAsia="zh-CN" w:bidi="ar"/>
        </w:rPr>
        <w:t>根据国务院办公厅印发的《政府信息公开信息处理费管理办法》和浙江省政府办公厅、宁波市政府办公厅关于政府信息公开信息处理费收取工作的有关规定，本机关全年没有收到超出一定数量或者频次范围的政府信息公开申请，也未对申请人收取信息处理费，</w:t>
      </w:r>
      <w:bookmarkStart w:id="0" w:name="_GoBack"/>
      <w:bookmarkEnd w:id="0"/>
      <w:r>
        <w:rPr>
          <w:rFonts w:hint="eastAsia" w:ascii="宋体" w:hAnsi="宋体" w:eastAsia="宋体" w:cs="宋体"/>
          <w:i w:val="0"/>
          <w:caps w:val="0"/>
          <w:color w:val="333333"/>
          <w:spacing w:val="0"/>
          <w:kern w:val="0"/>
          <w:sz w:val="24"/>
          <w:szCs w:val="24"/>
          <w:shd w:val="clear" w:fill="FFFFFF"/>
          <w:lang w:val="en-US" w:eastAsia="zh-CN" w:bidi="ar"/>
        </w:rPr>
        <w:t>特此说明。</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A635626"/>
    <w:multiLevelType w:val="singleLevel"/>
    <w:tmpl w:val="CA635626"/>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9C5897"/>
    <w:rsid w:val="00A20FD3"/>
    <w:rsid w:val="299C5897"/>
    <w:rsid w:val="327412D9"/>
    <w:rsid w:val="407010DE"/>
    <w:rsid w:val="60094D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81</TotalTime>
  <ScaleCrop>false</ScaleCrop>
  <LinksUpToDate>false</LinksUpToDate>
  <CharactersWithSpaces>0</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2021-12-28T09:20:00Z</dcterms:created>
  <dc:creator>Administrator</dc:creator>
  <cp:lastModifiedBy>Administrator</cp:lastModifiedBy>
  <cp:lastPrinted>2021-12-29T01:23:00Z</cp:lastPrinted>
  <dcterms:modified xsi:type="dcterms:W3CDTF">2022-01-26T02:37:22Z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y fmtid="{D5CDD505-2E9C-101B-9397-08002B2CF9AE}" pid="3" name="ICV">
    <vt:lpwstr>8F170B18012944328B256DDE2603B525</vt:lpwstr>
  </property>
</Properties>
</file>