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jc w:val="center"/>
        <w:textAlignment w:val="auto"/>
        <w:rPr>
          <w:rFonts w:hint="eastAsia" w:ascii="黑体" w:hAnsi="黑体" w:eastAsia="黑体" w:cs="黑体"/>
          <w:b w:val="0"/>
          <w:bCs/>
          <w:color w:val="000000"/>
          <w:sz w:val="32"/>
          <w:szCs w:val="32"/>
        </w:rPr>
      </w:pPr>
      <w:r>
        <w:rPr>
          <w:rFonts w:hint="eastAsia" w:ascii="方正小标宋简体" w:hAnsi="方正小标宋简体" w:eastAsia="方正小标宋简体" w:cs="方正小标宋简体"/>
          <w:b w:val="0"/>
          <w:bCs/>
          <w:snapToGrid w:val="0"/>
          <w:color w:val="000000"/>
          <w:spacing w:val="-11"/>
          <w:sz w:val="36"/>
        </w:rPr>
        <w:t>宁波市公安局北仑分局2020年度政府信息公开工作年度报告</w:t>
      </w: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一、总体情况</w:t>
      </w: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b w:val="0"/>
          <w:bCs/>
          <w:color w:val="000000"/>
          <w:sz w:val="32"/>
          <w:szCs w:val="32"/>
          <w:lang w:eastAsia="zh-CN"/>
        </w:rPr>
      </w:pPr>
      <w:r>
        <w:rPr>
          <w:rFonts w:hint="eastAsia" w:ascii="仿宋_GB2312" w:hAnsi="仿宋_GB2312" w:eastAsia="仿宋_GB2312" w:cs="仿宋_GB2312"/>
          <w:b w:val="0"/>
          <w:bCs/>
          <w:color w:val="000000"/>
          <w:sz w:val="32"/>
          <w:szCs w:val="32"/>
          <w:lang w:val="en-US" w:eastAsia="zh-CN"/>
        </w:rPr>
        <w:t>2020</w:t>
      </w:r>
      <w:r>
        <w:rPr>
          <w:rFonts w:hint="eastAsia" w:ascii="仿宋_GB2312" w:hAnsi="仿宋_GB2312" w:eastAsia="仿宋_GB2312" w:cs="仿宋_GB2312"/>
          <w:b w:val="0"/>
          <w:bCs/>
          <w:color w:val="000000"/>
          <w:sz w:val="32"/>
          <w:szCs w:val="32"/>
        </w:rPr>
        <w:t>年，宁波市公安局北仑分局认真贯彻</w:t>
      </w:r>
      <w:r>
        <w:rPr>
          <w:rFonts w:hint="eastAsia" w:ascii="仿宋_GB2312" w:hAnsi="仿宋_GB2312" w:eastAsia="仿宋_GB2312" w:cs="仿宋_GB2312"/>
          <w:b w:val="0"/>
          <w:bCs/>
          <w:color w:val="000000"/>
          <w:sz w:val="32"/>
          <w:szCs w:val="32"/>
          <w:lang w:eastAsia="zh-CN"/>
        </w:rPr>
        <w:t>新修订</w:t>
      </w:r>
      <w:r>
        <w:rPr>
          <w:rFonts w:hint="eastAsia" w:ascii="仿宋_GB2312" w:hAnsi="仿宋_GB2312" w:eastAsia="仿宋_GB2312" w:cs="仿宋_GB2312"/>
          <w:b w:val="0"/>
          <w:bCs/>
          <w:color w:val="000000"/>
          <w:sz w:val="32"/>
          <w:szCs w:val="32"/>
        </w:rPr>
        <w:t>《中华人民共和国政府信息公开条例》的各项规定，</w:t>
      </w:r>
      <w:r>
        <w:rPr>
          <w:rFonts w:hint="eastAsia" w:ascii="仿宋_GB2312" w:hAnsi="仿宋_GB2312" w:eastAsia="仿宋_GB2312" w:cs="仿宋_GB2312"/>
          <w:b w:val="0"/>
          <w:bCs/>
          <w:color w:val="000000"/>
          <w:sz w:val="32"/>
          <w:szCs w:val="32"/>
          <w:lang w:eastAsia="zh-CN"/>
        </w:rPr>
        <w:t>着重围绕推进治理能力现代化加强用权公开、围绕“六稳”“六保”加强政策发布解读、围绕优化营商环境加强政务信息公开、围绕疫情防控等突发事件应对加强公共卫生信息公开。</w:t>
      </w: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b w:val="0"/>
          <w:bCs/>
          <w:color w:val="000000"/>
          <w:sz w:val="32"/>
          <w:szCs w:val="32"/>
          <w:lang w:val="en-US" w:eastAsia="zh-CN"/>
        </w:rPr>
      </w:pPr>
      <w:r>
        <w:rPr>
          <w:rFonts w:hint="eastAsia" w:ascii="仿宋_GB2312" w:hAnsi="仿宋_GB2312" w:eastAsia="仿宋_GB2312" w:cs="仿宋_GB2312"/>
          <w:b w:val="0"/>
          <w:bCs/>
          <w:color w:val="000000"/>
          <w:sz w:val="32"/>
          <w:szCs w:val="32"/>
          <w:lang w:val="en-US" w:eastAsia="zh-CN"/>
        </w:rPr>
        <w:t>（1）主动公开</w:t>
      </w: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b w:val="0"/>
          <w:bCs/>
          <w:color w:val="000000"/>
          <w:sz w:val="32"/>
          <w:szCs w:val="32"/>
          <w:lang w:val="en-US" w:eastAsia="zh-CN"/>
        </w:rPr>
      </w:pPr>
      <w:r>
        <w:rPr>
          <w:rFonts w:hint="eastAsia" w:ascii="仿宋_GB2312" w:hAnsi="仿宋_GB2312" w:eastAsia="仿宋_GB2312" w:cs="仿宋_GB2312"/>
          <w:b w:val="0"/>
          <w:bCs/>
          <w:color w:val="000000"/>
          <w:sz w:val="32"/>
          <w:szCs w:val="32"/>
          <w:lang w:eastAsia="zh-CN"/>
        </w:rPr>
        <w:t>本年度，宁波市公安局北仑分局的信息公开工作出现了较大变化，信息公开的网址进行了变更，主动公开内容拓展为“组织机构”“法规文件”“计划规划”“财政信息”“人事信息”“重大决策预公开”“公告公示通知”“政务动态”八块内容，今年一共更新了</w:t>
      </w:r>
      <w:r>
        <w:rPr>
          <w:rFonts w:hint="eastAsia" w:ascii="仿宋_GB2312" w:hAnsi="仿宋_GB2312" w:eastAsia="仿宋_GB2312" w:cs="仿宋_GB2312"/>
          <w:b w:val="0"/>
          <w:bCs/>
          <w:color w:val="000000"/>
          <w:sz w:val="32"/>
          <w:szCs w:val="32"/>
          <w:lang w:val="en-US" w:eastAsia="zh-CN"/>
        </w:rPr>
        <w:t>3条法规文件、2条计划规划、2条人事信息，和216条公开公告信息。</w:t>
      </w:r>
    </w:p>
    <w:p>
      <w:pPr>
        <w:pStyle w:val="2"/>
        <w:keepNext w:val="0"/>
        <w:keepLines w:val="0"/>
        <w:pageBreakBefore w:val="0"/>
        <w:widowControl/>
        <w:numPr>
          <w:ilvl w:val="0"/>
          <w:numId w:val="1"/>
        </w:numPr>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依申请公开</w:t>
      </w:r>
    </w:p>
    <w:p>
      <w:pPr>
        <w:pStyle w:val="2"/>
        <w:keepNext w:val="0"/>
        <w:keepLines w:val="0"/>
        <w:pageBreakBefore w:val="0"/>
        <w:widowControl/>
        <w:numPr>
          <w:ilvl w:val="0"/>
          <w:numId w:val="0"/>
        </w:numPr>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default" w:ascii="仿宋_GB2312" w:hAnsi="仿宋_GB2312" w:eastAsia="仿宋_GB2312" w:cs="仿宋_GB2312"/>
          <w:b w:val="0"/>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在依申请公开这一块，宁波市公安局继续规范办件程序，认真贯彻落实《中华人民共和国政府信息公开条例》要求，坚持以人民为中心，依法保障群众的知情权、参与权和监督权。</w:t>
      </w:r>
      <w:r>
        <w:rPr>
          <w:rFonts w:hint="eastAsia" w:ascii="仿宋_GB2312" w:hAnsi="仿宋_GB2312" w:eastAsia="仿宋_GB2312" w:cs="仿宋_GB2312"/>
          <w:b w:val="0"/>
          <w:bCs/>
          <w:color w:val="000000" w:themeColor="text1"/>
          <w:sz w:val="32"/>
          <w:szCs w:val="32"/>
          <w:lang w:eastAsia="zh-CN"/>
          <w14:textFill>
            <w14:solidFill>
              <w14:schemeClr w14:val="tx1"/>
            </w14:solidFill>
          </w14:textFill>
        </w:rPr>
        <w:t>宁波市公安局北仑分局本年度共收到依申请公开</w:t>
      </w: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11件，其中10件办结。</w:t>
      </w: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（3）政务信息管理</w:t>
      </w: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b w:val="0"/>
          <w:bCs/>
          <w:color w:val="000000"/>
          <w:sz w:val="32"/>
          <w:szCs w:val="32"/>
          <w:lang w:val="en-US" w:eastAsia="zh-CN"/>
        </w:rPr>
      </w:pPr>
      <w:r>
        <w:rPr>
          <w:rFonts w:hint="eastAsia" w:ascii="仿宋_GB2312" w:hAnsi="仿宋_GB2312" w:eastAsia="仿宋_GB2312" w:cs="仿宋_GB2312"/>
          <w:b w:val="0"/>
          <w:bCs/>
          <w:color w:val="000000"/>
          <w:sz w:val="32"/>
          <w:szCs w:val="32"/>
          <w:lang w:val="en-US" w:eastAsia="zh-CN"/>
        </w:rPr>
        <w:t>2020</w:t>
      </w:r>
      <w:r>
        <w:rPr>
          <w:rFonts w:hint="default" w:ascii="仿宋_GB2312" w:hAnsi="仿宋_GB2312" w:eastAsia="仿宋_GB2312" w:cs="仿宋_GB2312"/>
          <w:b w:val="0"/>
          <w:bCs/>
          <w:color w:val="000000"/>
          <w:sz w:val="32"/>
          <w:szCs w:val="32"/>
          <w:lang w:val="en-US" w:eastAsia="zh-CN"/>
        </w:rPr>
        <w:t>年，宁波市公安局北仑分局</w:t>
      </w:r>
      <w:r>
        <w:rPr>
          <w:rFonts w:hint="eastAsia" w:ascii="仿宋_GB2312" w:hAnsi="仿宋_GB2312" w:eastAsia="仿宋_GB2312" w:cs="仿宋_GB2312"/>
          <w:b w:val="0"/>
          <w:bCs/>
          <w:color w:val="000000"/>
          <w:sz w:val="32"/>
          <w:szCs w:val="32"/>
          <w:lang w:val="en-US" w:eastAsia="zh-CN"/>
        </w:rPr>
        <w:t>积极</w:t>
      </w:r>
      <w:r>
        <w:rPr>
          <w:rFonts w:hint="default" w:ascii="仿宋_GB2312" w:hAnsi="仿宋_GB2312" w:eastAsia="仿宋_GB2312" w:cs="仿宋_GB2312"/>
          <w:b w:val="0"/>
          <w:bCs/>
          <w:color w:val="000000"/>
          <w:sz w:val="32"/>
          <w:szCs w:val="32"/>
          <w:lang w:val="en-US" w:eastAsia="zh-CN"/>
        </w:rPr>
        <w:t>推进财政信息公开，在网站上及时公布了</w:t>
      </w:r>
      <w:r>
        <w:rPr>
          <w:rFonts w:hint="eastAsia" w:ascii="仿宋_GB2312" w:hAnsi="仿宋_GB2312" w:eastAsia="仿宋_GB2312" w:cs="仿宋_GB2312"/>
          <w:b w:val="0"/>
          <w:bCs/>
          <w:color w:val="000000"/>
          <w:sz w:val="32"/>
          <w:szCs w:val="32"/>
          <w:lang w:val="en-US" w:eastAsia="zh-CN"/>
        </w:rPr>
        <w:t>2020</w:t>
      </w:r>
      <w:r>
        <w:rPr>
          <w:rFonts w:hint="default" w:ascii="仿宋_GB2312" w:hAnsi="仿宋_GB2312" w:eastAsia="仿宋_GB2312" w:cs="仿宋_GB2312"/>
          <w:b w:val="0"/>
          <w:bCs/>
          <w:color w:val="000000"/>
          <w:sz w:val="32"/>
          <w:szCs w:val="32"/>
          <w:lang w:val="en-US" w:eastAsia="zh-CN"/>
        </w:rPr>
        <w:t>年年度公安分局、交警大队的部门预算和201</w:t>
      </w:r>
      <w:r>
        <w:rPr>
          <w:rFonts w:hint="eastAsia" w:ascii="仿宋_GB2312" w:hAnsi="仿宋_GB2312" w:eastAsia="仿宋_GB2312" w:cs="仿宋_GB2312"/>
          <w:b w:val="0"/>
          <w:bCs/>
          <w:color w:val="000000"/>
          <w:sz w:val="32"/>
          <w:szCs w:val="32"/>
          <w:lang w:val="en-US" w:eastAsia="zh-CN"/>
        </w:rPr>
        <w:t>9</w:t>
      </w:r>
      <w:r>
        <w:rPr>
          <w:rFonts w:hint="default" w:ascii="仿宋_GB2312" w:hAnsi="仿宋_GB2312" w:eastAsia="仿宋_GB2312" w:cs="仿宋_GB2312"/>
          <w:b w:val="0"/>
          <w:bCs/>
          <w:color w:val="000000"/>
          <w:sz w:val="32"/>
          <w:szCs w:val="32"/>
          <w:lang w:val="en-US" w:eastAsia="zh-CN"/>
        </w:rPr>
        <w:t>年年度公安分局、交警大队的部门决算，内容详实完整。</w:t>
      </w:r>
      <w:r>
        <w:rPr>
          <w:rFonts w:hint="eastAsia" w:ascii="仿宋_GB2312" w:hAnsi="仿宋_GB2312" w:eastAsia="仿宋_GB2312" w:cs="仿宋_GB2312"/>
          <w:b w:val="0"/>
          <w:bCs/>
          <w:color w:val="000000"/>
          <w:sz w:val="32"/>
          <w:szCs w:val="32"/>
          <w:lang w:val="en-US" w:eastAsia="zh-CN"/>
        </w:rPr>
        <w:t>此外，</w:t>
      </w:r>
      <w:r>
        <w:rPr>
          <w:rFonts w:hint="default" w:ascii="仿宋_GB2312" w:hAnsi="仿宋_GB2312" w:eastAsia="仿宋_GB2312" w:cs="仿宋_GB2312"/>
          <w:b w:val="0"/>
          <w:bCs/>
          <w:color w:val="000000"/>
          <w:sz w:val="32"/>
          <w:szCs w:val="32"/>
          <w:lang w:val="en-US" w:eastAsia="zh-CN"/>
        </w:rPr>
        <w:t>宁波市公安局北仑分局</w:t>
      </w:r>
      <w:r>
        <w:rPr>
          <w:rFonts w:hint="eastAsia" w:ascii="仿宋_GB2312" w:hAnsi="仿宋_GB2312" w:eastAsia="仿宋_GB2312" w:cs="仿宋_GB2312"/>
          <w:b w:val="0"/>
          <w:bCs/>
          <w:color w:val="000000"/>
          <w:sz w:val="32"/>
          <w:szCs w:val="32"/>
          <w:lang w:val="en-US" w:eastAsia="zh-CN"/>
        </w:rPr>
        <w:t>继续</w:t>
      </w:r>
      <w:r>
        <w:rPr>
          <w:rFonts w:hint="default" w:ascii="仿宋_GB2312" w:hAnsi="仿宋_GB2312" w:eastAsia="仿宋_GB2312" w:cs="仿宋_GB2312"/>
          <w:b w:val="0"/>
          <w:bCs/>
          <w:color w:val="000000"/>
          <w:sz w:val="32"/>
          <w:szCs w:val="32"/>
          <w:lang w:val="en-US" w:eastAsia="zh-CN"/>
        </w:rPr>
        <w:t>推进政务新媒体健康有序发展，全年</w:t>
      </w:r>
      <w:r>
        <w:rPr>
          <w:rFonts w:hint="eastAsia" w:ascii="仿宋_GB2312" w:hAnsi="仿宋_GB2312" w:eastAsia="仿宋_GB2312" w:cs="仿宋_GB2312"/>
          <w:b w:val="0"/>
          <w:bCs/>
          <w:color w:val="000000"/>
          <w:sz w:val="32"/>
          <w:szCs w:val="32"/>
          <w:lang w:val="en-US" w:eastAsia="zh-CN"/>
        </w:rPr>
        <w:t>共</w:t>
      </w:r>
      <w:r>
        <w:rPr>
          <w:rFonts w:hint="default" w:ascii="仿宋_GB2312" w:hAnsi="仿宋_GB2312" w:eastAsia="仿宋_GB2312" w:cs="仿宋_GB2312"/>
          <w:b w:val="0"/>
          <w:bCs/>
          <w:color w:val="000000"/>
          <w:sz w:val="32"/>
          <w:szCs w:val="32"/>
          <w:lang w:val="en-US" w:eastAsia="zh-CN"/>
        </w:rPr>
        <w:t>发布微信2</w:t>
      </w:r>
      <w:r>
        <w:rPr>
          <w:rFonts w:hint="eastAsia" w:ascii="仿宋_GB2312" w:hAnsi="仿宋_GB2312" w:eastAsia="仿宋_GB2312" w:cs="仿宋_GB2312"/>
          <w:b w:val="0"/>
          <w:bCs/>
          <w:color w:val="000000"/>
          <w:sz w:val="32"/>
          <w:szCs w:val="32"/>
          <w:lang w:val="en-US" w:eastAsia="zh-CN"/>
        </w:rPr>
        <w:t>19</w:t>
      </w:r>
      <w:r>
        <w:rPr>
          <w:rFonts w:hint="default" w:ascii="仿宋_GB2312" w:hAnsi="仿宋_GB2312" w:eastAsia="仿宋_GB2312" w:cs="仿宋_GB2312"/>
          <w:b w:val="0"/>
          <w:bCs/>
          <w:color w:val="000000"/>
          <w:sz w:val="32"/>
          <w:szCs w:val="32"/>
          <w:lang w:val="en-US" w:eastAsia="zh-CN"/>
        </w:rPr>
        <w:t>条、微博</w:t>
      </w:r>
      <w:r>
        <w:rPr>
          <w:rFonts w:hint="eastAsia" w:ascii="仿宋_GB2312" w:hAnsi="仿宋_GB2312" w:eastAsia="仿宋_GB2312" w:cs="仿宋_GB2312"/>
          <w:b w:val="0"/>
          <w:bCs/>
          <w:color w:val="000000"/>
          <w:sz w:val="32"/>
          <w:szCs w:val="32"/>
          <w:lang w:val="en-US" w:eastAsia="zh-CN"/>
        </w:rPr>
        <w:t>4631</w:t>
      </w:r>
      <w:r>
        <w:rPr>
          <w:rFonts w:hint="default" w:ascii="仿宋_GB2312" w:hAnsi="仿宋_GB2312" w:eastAsia="仿宋_GB2312" w:cs="仿宋_GB2312"/>
          <w:b w:val="0"/>
          <w:bCs/>
          <w:color w:val="000000"/>
          <w:sz w:val="32"/>
          <w:szCs w:val="32"/>
          <w:lang w:val="en-US" w:eastAsia="zh-CN"/>
        </w:rPr>
        <w:t>条，联动网站的政务一道共同发展。</w:t>
      </w: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（4）平台建设</w:t>
      </w: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b w:val="0"/>
          <w:bCs/>
          <w:color w:val="000000"/>
          <w:sz w:val="32"/>
          <w:szCs w:val="32"/>
          <w:lang w:val="en-US" w:eastAsia="zh-CN"/>
        </w:rPr>
      </w:pPr>
      <w:r>
        <w:rPr>
          <w:rFonts w:hint="eastAsia" w:ascii="仿宋_GB2312" w:hAnsi="仿宋_GB2312" w:eastAsia="仿宋_GB2312" w:cs="仿宋_GB2312"/>
          <w:b w:val="0"/>
          <w:bCs/>
          <w:color w:val="000000"/>
          <w:sz w:val="32"/>
          <w:szCs w:val="32"/>
          <w:lang w:val="en-US" w:eastAsia="zh-CN"/>
        </w:rPr>
        <w:t>今年信息公开内容新增栏目“组织机构”，将原本单一的宁波市公安局北仑分局介绍条目扩充至36条，将宁波市公安局北仑分局下设的每个机构均详尽介绍；新增栏目“计划规划”，并添加了近两年的公安工作总结以及之后的工作思路；新增栏目“重大决策预公开”，此条目将公开由宁波市公安局北仑分局起草的重大通告的意见征求稿，希望广大群众群策群力，为通告献言献策。</w:t>
      </w:r>
    </w:p>
    <w:p>
      <w:pPr>
        <w:pStyle w:val="2"/>
        <w:keepNext w:val="0"/>
        <w:keepLines w:val="0"/>
        <w:pageBreakBefore w:val="0"/>
        <w:widowControl/>
        <w:numPr>
          <w:ilvl w:val="0"/>
          <w:numId w:val="2"/>
        </w:numPr>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pPr>
      <w:bookmarkStart w:id="0" w:name="_GoBack"/>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监督保障</w:t>
      </w:r>
    </w:p>
    <w:p>
      <w:pPr>
        <w:pStyle w:val="2"/>
        <w:keepNext w:val="0"/>
        <w:keepLines w:val="0"/>
        <w:pageBreakBefore w:val="0"/>
        <w:widowControl/>
        <w:numPr>
          <w:ilvl w:val="0"/>
          <w:numId w:val="0"/>
        </w:numPr>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另一方面，宁波市公安局北仑分局将继续提高公开能力，继续对《中华人民共和国政府信息公开条例》加强研读，并参加相关政务公开培训会。此外，宁波市公安局北仑分局也不断加强网络监测，对相关发文的格式规范进行层层审核，对栏目更新进行常态化监测。</w:t>
      </w:r>
    </w:p>
    <w:bookmarkEnd w:id="0"/>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二、主动公开政府信息情况</w:t>
      </w:r>
    </w:p>
    <w:tbl>
      <w:tblPr>
        <w:tblStyle w:val="3"/>
        <w:tblW w:w="81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113"/>
        <w:gridCol w:w="1875"/>
        <w:gridCol w:w="6"/>
        <w:gridCol w:w="1265"/>
        <w:gridCol w:w="18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0" w:hRule="exact"/>
          <w:jc w:val="center"/>
        </w:trPr>
        <w:tc>
          <w:tcPr>
            <w:tcW w:w="8140" w:type="dxa"/>
            <w:gridSpan w:val="5"/>
            <w:tcBorders>
              <w:top w:val="single" w:color="auto" w:sz="8" w:space="0"/>
              <w:left w:val="single" w:color="auto" w:sz="8" w:space="0"/>
              <w:bottom w:val="single" w:color="auto" w:sz="8" w:space="0"/>
              <w:right w:val="single" w:color="auto" w:sz="8" w:space="0"/>
              <w:tl2br w:val="nil"/>
              <w:tr2bl w:val="nil"/>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67"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信息内容</w:t>
            </w:r>
          </w:p>
        </w:tc>
        <w:tc>
          <w:tcPr>
            <w:tcW w:w="1875" w:type="dxa"/>
            <w:tcBorders>
              <w:top w:val="single" w:color="auto" w:sz="8" w:space="0"/>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本年新</w:t>
            </w:r>
            <w:r>
              <w:rPr>
                <w:rFonts w:hint="eastAsia" w:ascii="仿宋_GB2312" w:hAnsi="仿宋_GB2312" w:eastAsia="仿宋_GB2312" w:cs="仿宋_GB2312"/>
                <w:color w:val="000000"/>
                <w:kern w:val="0"/>
                <w:sz w:val="21"/>
                <w:szCs w:val="21"/>
                <w:lang w:val="en-US" w:eastAsia="zh-CN"/>
              </w:rPr>
              <w:br w:type="textWrapping"/>
            </w:r>
            <w:r>
              <w:rPr>
                <w:rFonts w:hint="eastAsia" w:ascii="仿宋_GB2312" w:hAnsi="仿宋_GB2312" w:eastAsia="仿宋_GB2312" w:cs="仿宋_GB2312"/>
                <w:color w:val="000000"/>
                <w:kern w:val="0"/>
                <w:sz w:val="21"/>
                <w:szCs w:val="21"/>
                <w:lang w:val="en-US" w:eastAsia="zh-CN"/>
              </w:rPr>
              <w:t>制作数量</w:t>
            </w:r>
          </w:p>
        </w:tc>
        <w:tc>
          <w:tcPr>
            <w:tcW w:w="1271" w:type="dxa"/>
            <w:gridSpan w:val="2"/>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本年新</w:t>
            </w:r>
            <w:r>
              <w:rPr>
                <w:rFonts w:hint="eastAsia" w:ascii="仿宋_GB2312" w:hAnsi="仿宋_GB2312" w:eastAsia="仿宋_GB2312" w:cs="仿宋_GB2312"/>
                <w:color w:val="000000"/>
                <w:kern w:val="0"/>
                <w:sz w:val="21"/>
                <w:szCs w:val="21"/>
                <w:lang w:val="en-US" w:eastAsia="zh-CN"/>
              </w:rPr>
              <w:br w:type="textWrapping"/>
            </w:r>
            <w:r>
              <w:rPr>
                <w:rFonts w:hint="eastAsia" w:ascii="仿宋_GB2312" w:hAnsi="仿宋_GB2312" w:eastAsia="仿宋_GB2312" w:cs="仿宋_GB2312"/>
                <w:color w:val="000000"/>
                <w:kern w:val="0"/>
                <w:sz w:val="21"/>
                <w:szCs w:val="21"/>
                <w:lang w:val="en-US" w:eastAsia="zh-CN"/>
              </w:rPr>
              <w:t>公开数量</w:t>
            </w:r>
          </w:p>
        </w:tc>
        <w:tc>
          <w:tcPr>
            <w:tcW w:w="1881"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对外公开总数量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8"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规章</w:t>
            </w:r>
          </w:p>
        </w:tc>
        <w:tc>
          <w:tcPr>
            <w:tcW w:w="1875"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c>
          <w:tcPr>
            <w:tcW w:w="1271" w:type="dxa"/>
            <w:gridSpan w:val="2"/>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c>
          <w:tcPr>
            <w:tcW w:w="1881"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2"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规范性文件</w:t>
            </w:r>
          </w:p>
        </w:tc>
        <w:tc>
          <w:tcPr>
            <w:tcW w:w="1875"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c>
          <w:tcPr>
            <w:tcW w:w="1271" w:type="dxa"/>
            <w:gridSpan w:val="2"/>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c>
          <w:tcPr>
            <w:tcW w:w="1881"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2" w:hRule="exact"/>
          <w:jc w:val="center"/>
        </w:trPr>
        <w:tc>
          <w:tcPr>
            <w:tcW w:w="8140" w:type="dxa"/>
            <w:gridSpan w:val="5"/>
            <w:tcBorders>
              <w:top w:val="nil"/>
              <w:left w:val="single" w:color="auto" w:sz="8" w:space="0"/>
              <w:bottom w:val="single" w:color="auto" w:sz="8" w:space="0"/>
              <w:right w:val="single" w:color="auto" w:sz="8" w:space="0"/>
              <w:tl2br w:val="nil"/>
              <w:tr2bl w:val="nil"/>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4"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信息内容</w:t>
            </w:r>
          </w:p>
        </w:tc>
        <w:tc>
          <w:tcPr>
            <w:tcW w:w="1875" w:type="dxa"/>
            <w:tcBorders>
              <w:top w:val="single" w:color="auto" w:sz="8" w:space="0"/>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上一年项目数量</w:t>
            </w:r>
          </w:p>
        </w:tc>
        <w:tc>
          <w:tcPr>
            <w:tcW w:w="1271" w:type="dxa"/>
            <w:gridSpan w:val="2"/>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本年增/减</w:t>
            </w:r>
          </w:p>
        </w:tc>
        <w:tc>
          <w:tcPr>
            <w:tcW w:w="1881"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8"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行政许可</w:t>
            </w:r>
          </w:p>
        </w:tc>
        <w:tc>
          <w:tcPr>
            <w:tcW w:w="1881" w:type="dxa"/>
            <w:gridSpan w:val="2"/>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140</w:t>
            </w:r>
          </w:p>
        </w:tc>
        <w:tc>
          <w:tcPr>
            <w:tcW w:w="1265"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c>
          <w:tcPr>
            <w:tcW w:w="1881"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120563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其他对外管理服务事项</w:t>
            </w:r>
          </w:p>
        </w:tc>
        <w:tc>
          <w:tcPr>
            <w:tcW w:w="1881" w:type="dxa"/>
            <w:gridSpan w:val="2"/>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c>
          <w:tcPr>
            <w:tcW w:w="1265"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c>
          <w:tcPr>
            <w:tcW w:w="1881"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7" w:hRule="exact"/>
          <w:jc w:val="center"/>
        </w:trPr>
        <w:tc>
          <w:tcPr>
            <w:tcW w:w="8140" w:type="dxa"/>
            <w:gridSpan w:val="5"/>
            <w:tcBorders>
              <w:top w:val="nil"/>
              <w:left w:val="single" w:color="auto" w:sz="8" w:space="0"/>
              <w:bottom w:val="single" w:color="auto" w:sz="8" w:space="0"/>
              <w:right w:val="single" w:color="auto" w:sz="8" w:space="0"/>
              <w:tl2br w:val="nil"/>
              <w:tr2bl w:val="nil"/>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9"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信息内容</w:t>
            </w:r>
          </w:p>
        </w:tc>
        <w:tc>
          <w:tcPr>
            <w:tcW w:w="1875" w:type="dxa"/>
            <w:tcBorders>
              <w:top w:val="single" w:color="auto" w:sz="8" w:space="0"/>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上一年项目数量</w:t>
            </w:r>
          </w:p>
        </w:tc>
        <w:tc>
          <w:tcPr>
            <w:tcW w:w="1271" w:type="dxa"/>
            <w:gridSpan w:val="2"/>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本年增/减</w:t>
            </w:r>
          </w:p>
        </w:tc>
        <w:tc>
          <w:tcPr>
            <w:tcW w:w="1881"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2"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行政处罚</w:t>
            </w:r>
          </w:p>
        </w:tc>
        <w:tc>
          <w:tcPr>
            <w:tcW w:w="1881" w:type="dxa"/>
            <w:gridSpan w:val="2"/>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365</w:t>
            </w:r>
          </w:p>
        </w:tc>
        <w:tc>
          <w:tcPr>
            <w:tcW w:w="1265"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c>
          <w:tcPr>
            <w:tcW w:w="1881"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101453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2"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行政强制</w:t>
            </w:r>
          </w:p>
        </w:tc>
        <w:tc>
          <w:tcPr>
            <w:tcW w:w="1881" w:type="dxa"/>
            <w:gridSpan w:val="2"/>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19</w:t>
            </w:r>
          </w:p>
        </w:tc>
        <w:tc>
          <w:tcPr>
            <w:tcW w:w="1265"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c>
          <w:tcPr>
            <w:tcW w:w="1881"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exact"/>
          <w:jc w:val="center"/>
        </w:trPr>
        <w:tc>
          <w:tcPr>
            <w:tcW w:w="8140" w:type="dxa"/>
            <w:gridSpan w:val="5"/>
            <w:tcBorders>
              <w:top w:val="nil"/>
              <w:left w:val="single" w:color="auto" w:sz="8" w:space="0"/>
              <w:bottom w:val="single" w:color="auto" w:sz="8" w:space="0"/>
              <w:right w:val="single" w:color="auto" w:sz="8" w:space="0"/>
              <w:tl2br w:val="nil"/>
              <w:tr2bl w:val="nil"/>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7"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信息内容</w:t>
            </w:r>
          </w:p>
        </w:tc>
        <w:tc>
          <w:tcPr>
            <w:tcW w:w="1881" w:type="dxa"/>
            <w:gridSpan w:val="2"/>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上一年项目数量</w:t>
            </w:r>
          </w:p>
        </w:tc>
        <w:tc>
          <w:tcPr>
            <w:tcW w:w="3146" w:type="dxa"/>
            <w:gridSpan w:val="2"/>
            <w:tcBorders>
              <w:top w:val="single" w:color="auto" w:sz="8" w:space="0"/>
              <w:left w:val="nil"/>
              <w:bottom w:val="single" w:color="auto" w:sz="8" w:space="0"/>
              <w:right w:val="single" w:color="000000"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本年增/减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6"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行政事业性收费</w:t>
            </w:r>
          </w:p>
        </w:tc>
        <w:tc>
          <w:tcPr>
            <w:tcW w:w="1881" w:type="dxa"/>
            <w:gridSpan w:val="2"/>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c>
          <w:tcPr>
            <w:tcW w:w="3146" w:type="dxa"/>
            <w:gridSpan w:val="2"/>
            <w:tcBorders>
              <w:top w:val="nil"/>
              <w:left w:val="nil"/>
              <w:bottom w:val="single" w:color="auto" w:sz="8" w:space="0"/>
              <w:right w:val="single" w:color="000000"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2" w:hRule="exact"/>
          <w:jc w:val="center"/>
        </w:trPr>
        <w:tc>
          <w:tcPr>
            <w:tcW w:w="8140" w:type="dxa"/>
            <w:gridSpan w:val="5"/>
            <w:tcBorders>
              <w:top w:val="nil"/>
              <w:left w:val="single" w:color="auto" w:sz="8" w:space="0"/>
              <w:bottom w:val="single" w:color="auto" w:sz="8" w:space="0"/>
              <w:right w:val="single" w:color="auto" w:sz="8" w:space="0"/>
              <w:tl2br w:val="nil"/>
              <w:tr2bl w:val="nil"/>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第二十条第（九）项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0"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信息内容</w:t>
            </w:r>
          </w:p>
        </w:tc>
        <w:tc>
          <w:tcPr>
            <w:tcW w:w="1881" w:type="dxa"/>
            <w:gridSpan w:val="2"/>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采购项目数量</w:t>
            </w:r>
          </w:p>
        </w:tc>
        <w:tc>
          <w:tcPr>
            <w:tcW w:w="3146" w:type="dxa"/>
            <w:gridSpan w:val="2"/>
            <w:tcBorders>
              <w:top w:val="single" w:color="auto" w:sz="8" w:space="0"/>
              <w:left w:val="nil"/>
              <w:bottom w:val="single" w:color="auto" w:sz="8" w:space="0"/>
              <w:right w:val="single" w:color="000000"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采购总金额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政府集中采购</w:t>
            </w:r>
          </w:p>
        </w:tc>
        <w:tc>
          <w:tcPr>
            <w:tcW w:w="1881" w:type="dxa"/>
            <w:gridSpan w:val="2"/>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c>
          <w:tcPr>
            <w:tcW w:w="3146" w:type="dxa"/>
            <w:gridSpan w:val="2"/>
            <w:tcBorders>
              <w:top w:val="nil"/>
              <w:left w:val="nil"/>
              <w:bottom w:val="single" w:color="auto" w:sz="8" w:space="0"/>
              <w:right w:val="single" w:color="000000"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r>
    </w:tbl>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三、收到和处理政府信息公开申请情况</w:t>
      </w:r>
    </w:p>
    <w:tbl>
      <w:tblPr>
        <w:tblStyle w:val="3"/>
        <w:tblW w:w="9071"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1214"/>
        <w:gridCol w:w="975"/>
        <w:gridCol w:w="1395"/>
        <w:gridCol w:w="855"/>
        <w:gridCol w:w="780"/>
        <w:gridCol w:w="765"/>
        <w:gridCol w:w="765"/>
        <w:gridCol w:w="840"/>
        <w:gridCol w:w="690"/>
        <w:gridCol w:w="79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2" w:hRule="atLeast"/>
          <w:jc w:val="center"/>
        </w:trPr>
        <w:tc>
          <w:tcPr>
            <w:tcW w:w="3584" w:type="dxa"/>
            <w:gridSpan w:val="3"/>
            <w:vMerge w:val="restart"/>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（本列数据的勾稽关系为：第一项加第二项之和，等于第三项加第四项之和）</w:t>
            </w:r>
          </w:p>
        </w:tc>
        <w:tc>
          <w:tcPr>
            <w:tcW w:w="5487" w:type="dxa"/>
            <w:gridSpan w:val="7"/>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申请人情况</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72" w:hRule="atLeast"/>
          <w:jc w:val="center"/>
        </w:trPr>
        <w:tc>
          <w:tcPr>
            <w:tcW w:w="3584" w:type="dxa"/>
            <w:gridSpan w:val="3"/>
            <w:vMerge w:val="continue"/>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855" w:type="dxa"/>
            <w:vMerge w:val="restart"/>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自然人</w:t>
            </w:r>
          </w:p>
        </w:tc>
        <w:tc>
          <w:tcPr>
            <w:tcW w:w="3840" w:type="dxa"/>
            <w:gridSpan w:val="5"/>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法人或其他组织</w:t>
            </w:r>
          </w:p>
        </w:tc>
        <w:tc>
          <w:tcPr>
            <w:tcW w:w="792" w:type="dxa"/>
            <w:vMerge w:val="restart"/>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3584" w:type="dxa"/>
            <w:gridSpan w:val="3"/>
            <w:vMerge w:val="continue"/>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855" w:type="dxa"/>
            <w:vMerge w:val="continue"/>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78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商业企业</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科研机构</w:t>
            </w:r>
          </w:p>
        </w:tc>
        <w:tc>
          <w:tcPr>
            <w:tcW w:w="76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社会公益组织</w:t>
            </w:r>
          </w:p>
        </w:tc>
        <w:tc>
          <w:tcPr>
            <w:tcW w:w="840"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法律服务机构</w:t>
            </w:r>
          </w:p>
        </w:tc>
        <w:tc>
          <w:tcPr>
            <w:tcW w:w="690"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其他</w:t>
            </w:r>
          </w:p>
        </w:tc>
        <w:tc>
          <w:tcPr>
            <w:tcW w:w="792" w:type="dxa"/>
            <w:vMerge w:val="continue"/>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3584" w:type="dxa"/>
            <w:gridSpan w:val="3"/>
            <w:tcBorders>
              <w:top w:val="nil"/>
              <w:left w:val="single" w:color="auto" w:sz="8" w:space="0"/>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一、本年新收政府信息公开申请数量</w:t>
            </w:r>
          </w:p>
        </w:tc>
        <w:tc>
          <w:tcPr>
            <w:tcW w:w="85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10</w:t>
            </w:r>
          </w:p>
        </w:tc>
        <w:tc>
          <w:tcPr>
            <w:tcW w:w="78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1</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11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3584" w:type="dxa"/>
            <w:gridSpan w:val="3"/>
            <w:tcBorders>
              <w:top w:val="nil"/>
              <w:left w:val="single" w:color="auto" w:sz="8" w:space="0"/>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二、上年结转政府信息公开申请数量</w:t>
            </w:r>
          </w:p>
        </w:tc>
        <w:tc>
          <w:tcPr>
            <w:tcW w:w="85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0</w:t>
            </w:r>
          </w:p>
        </w:tc>
        <w:tc>
          <w:tcPr>
            <w:tcW w:w="78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三、本年度办理结果</w:t>
            </w:r>
          </w:p>
        </w:tc>
        <w:tc>
          <w:tcPr>
            <w:tcW w:w="2370" w:type="dxa"/>
            <w:gridSpan w:val="2"/>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（一）予以公开</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10 </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92"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10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2370" w:type="dxa"/>
            <w:gridSpan w:val="2"/>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（二）部分公开（区分处理的，只计这一情形，不计其他情形）</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1</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1 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975"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（三）不予公开</w:t>
            </w: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1.属于国家秘密</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92"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2.其他法律行政法规禁止公开</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3.危及“三安全一稳定”</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4.保护第三方合法权益</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5.属于三类内部事务信息</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6.属于四类过程性信息</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7.属于行政执法案卷</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8.属于行政查询事项</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975"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（四）无法提供</w:t>
            </w: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1.本机关不掌握相关政府信息</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2.没有现成信息需要另行制作</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3.补正后申请内容仍不明确</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975"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（五）不予处理</w:t>
            </w: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1.信访举报投诉类申请</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84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69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9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2.重复申请</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84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69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9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3.要求提供公开出版物</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84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69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9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4.无正当理由大量反复申请</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84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69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9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975" w:type="dxa"/>
            <w:vMerge w:val="continue"/>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139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5.要求行政机关确认或重新出具已获取信息</w:t>
            </w:r>
          </w:p>
        </w:tc>
        <w:tc>
          <w:tcPr>
            <w:tcW w:w="85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0</w:t>
            </w:r>
          </w:p>
        </w:tc>
        <w:tc>
          <w:tcPr>
            <w:tcW w:w="780"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840"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690"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92"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nil"/>
              <w:left w:val="single" w:color="auto" w:sz="8" w:space="0"/>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2370" w:type="dxa"/>
            <w:gridSpan w:val="2"/>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（六）其他处理</w:t>
            </w:r>
          </w:p>
        </w:tc>
        <w:tc>
          <w:tcPr>
            <w:tcW w:w="85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0</w:t>
            </w:r>
          </w:p>
        </w:tc>
        <w:tc>
          <w:tcPr>
            <w:tcW w:w="78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7" w:hRule="atLeast"/>
          <w:jc w:val="center"/>
        </w:trPr>
        <w:tc>
          <w:tcPr>
            <w:tcW w:w="1214" w:type="dxa"/>
            <w:vMerge w:val="continue"/>
            <w:tcBorders>
              <w:top w:val="nil"/>
              <w:left w:val="single" w:color="auto" w:sz="8" w:space="0"/>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2370" w:type="dxa"/>
            <w:gridSpan w:val="2"/>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（七）总计</w:t>
            </w:r>
          </w:p>
        </w:tc>
        <w:tc>
          <w:tcPr>
            <w:tcW w:w="85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11</w:t>
            </w:r>
          </w:p>
        </w:tc>
        <w:tc>
          <w:tcPr>
            <w:tcW w:w="78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11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3584" w:type="dxa"/>
            <w:gridSpan w:val="3"/>
            <w:tcBorders>
              <w:top w:val="nil"/>
              <w:left w:val="single" w:color="auto" w:sz="8" w:space="0"/>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四、结转下年度继续办理</w:t>
            </w:r>
          </w:p>
        </w:tc>
        <w:tc>
          <w:tcPr>
            <w:tcW w:w="85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 0</w:t>
            </w:r>
          </w:p>
        </w:tc>
        <w:tc>
          <w:tcPr>
            <w:tcW w:w="78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 </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r>
    </w:tbl>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四、政府信息公开行政复议、行政诉讼情况</w:t>
      </w:r>
    </w:p>
    <w:tbl>
      <w:tblPr>
        <w:tblStyle w:val="3"/>
        <w:tblW w:w="9071"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PrEx>
        <w:trPr>
          <w:jc w:val="center"/>
        </w:trPr>
        <w:tc>
          <w:tcPr>
            <w:tcW w:w="3074" w:type="dxa"/>
            <w:gridSpan w:val="5"/>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行政复议</w:t>
            </w:r>
          </w:p>
        </w:tc>
        <w:tc>
          <w:tcPr>
            <w:tcW w:w="5997" w:type="dxa"/>
            <w:gridSpan w:val="10"/>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行政诉讼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PrEx>
        <w:trPr>
          <w:jc w:val="center"/>
        </w:trPr>
        <w:tc>
          <w:tcPr>
            <w:tcW w:w="604" w:type="dxa"/>
            <w:vMerge w:val="restart"/>
            <w:tcBorders>
              <w:top w:val="nil"/>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结果维持</w:t>
            </w:r>
          </w:p>
        </w:tc>
        <w:tc>
          <w:tcPr>
            <w:tcW w:w="604" w:type="dxa"/>
            <w:vMerge w:val="restart"/>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结果纠正</w:t>
            </w:r>
          </w:p>
        </w:tc>
        <w:tc>
          <w:tcPr>
            <w:tcW w:w="604" w:type="dxa"/>
            <w:vMerge w:val="restart"/>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其他结果</w:t>
            </w:r>
          </w:p>
        </w:tc>
        <w:tc>
          <w:tcPr>
            <w:tcW w:w="604" w:type="dxa"/>
            <w:vMerge w:val="restart"/>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尚未审结</w:t>
            </w:r>
          </w:p>
        </w:tc>
        <w:tc>
          <w:tcPr>
            <w:tcW w:w="658" w:type="dxa"/>
            <w:vMerge w:val="restart"/>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总计</w:t>
            </w:r>
          </w:p>
        </w:tc>
        <w:tc>
          <w:tcPr>
            <w:tcW w:w="2970" w:type="dxa"/>
            <w:gridSpan w:val="5"/>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未经复议直接起诉</w:t>
            </w:r>
          </w:p>
        </w:tc>
        <w:tc>
          <w:tcPr>
            <w:tcW w:w="3027" w:type="dxa"/>
            <w:gridSpan w:val="5"/>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复议后起诉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rPr>
                <w:rFonts w:hint="eastAsia" w:ascii="仿宋_GB2312" w:hAnsi="仿宋_GB2312" w:eastAsia="仿宋_GB2312" w:cs="仿宋_GB2312"/>
                <w:color w:val="000000"/>
                <w:sz w:val="32"/>
                <w:szCs w:val="32"/>
              </w:rPr>
            </w:pPr>
          </w:p>
        </w:tc>
        <w:tc>
          <w:tcPr>
            <w:tcW w:w="604" w:type="dxa"/>
            <w:vMerge w:val="continue"/>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Lines="0"/>
              <w:rPr>
                <w:rFonts w:hint="eastAsia" w:ascii="仿宋_GB2312" w:hAnsi="仿宋_GB2312" w:eastAsia="仿宋_GB2312" w:cs="仿宋_GB2312"/>
                <w:color w:val="000000"/>
                <w:sz w:val="32"/>
                <w:szCs w:val="32"/>
              </w:rPr>
            </w:pPr>
          </w:p>
        </w:tc>
        <w:tc>
          <w:tcPr>
            <w:tcW w:w="604" w:type="dxa"/>
            <w:vMerge w:val="continue"/>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Lines="0"/>
              <w:rPr>
                <w:rFonts w:hint="eastAsia" w:ascii="仿宋_GB2312" w:hAnsi="仿宋_GB2312" w:eastAsia="仿宋_GB2312" w:cs="仿宋_GB2312"/>
                <w:color w:val="000000"/>
                <w:sz w:val="32"/>
                <w:szCs w:val="32"/>
              </w:rPr>
            </w:pPr>
          </w:p>
        </w:tc>
        <w:tc>
          <w:tcPr>
            <w:tcW w:w="604" w:type="dxa"/>
            <w:vMerge w:val="continue"/>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Lines="0"/>
              <w:rPr>
                <w:rFonts w:hint="eastAsia" w:ascii="仿宋_GB2312" w:hAnsi="仿宋_GB2312" w:eastAsia="仿宋_GB2312" w:cs="仿宋_GB2312"/>
                <w:color w:val="000000"/>
                <w:sz w:val="32"/>
                <w:szCs w:val="32"/>
              </w:rPr>
            </w:pPr>
          </w:p>
        </w:tc>
        <w:tc>
          <w:tcPr>
            <w:tcW w:w="658" w:type="dxa"/>
            <w:vMerge w:val="continue"/>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Lines="0"/>
              <w:rPr>
                <w:rFonts w:hint="eastAsia" w:ascii="仿宋_GB2312" w:hAnsi="仿宋_GB2312" w:eastAsia="仿宋_GB2312" w:cs="仿宋_GB2312"/>
                <w:color w:val="000000"/>
                <w:sz w:val="32"/>
                <w:szCs w:val="32"/>
              </w:rPr>
            </w:pPr>
          </w:p>
        </w:tc>
        <w:tc>
          <w:tcPr>
            <w:tcW w:w="55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结果维持</w:t>
            </w:r>
          </w:p>
        </w:tc>
        <w:tc>
          <w:tcPr>
            <w:tcW w:w="6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结果纠正</w:t>
            </w:r>
          </w:p>
        </w:tc>
        <w:tc>
          <w:tcPr>
            <w:tcW w:w="60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其他结果</w:t>
            </w:r>
          </w:p>
        </w:tc>
        <w:tc>
          <w:tcPr>
            <w:tcW w:w="60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尚未审结</w:t>
            </w:r>
          </w:p>
        </w:tc>
        <w:tc>
          <w:tcPr>
            <w:tcW w:w="60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总计</w:t>
            </w:r>
          </w:p>
        </w:tc>
        <w:tc>
          <w:tcPr>
            <w:tcW w:w="60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结果维持</w:t>
            </w:r>
          </w:p>
        </w:tc>
        <w:tc>
          <w:tcPr>
            <w:tcW w:w="60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结果纠正</w:t>
            </w:r>
          </w:p>
        </w:tc>
        <w:tc>
          <w:tcPr>
            <w:tcW w:w="60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其他结果</w:t>
            </w:r>
          </w:p>
        </w:tc>
        <w:tc>
          <w:tcPr>
            <w:tcW w:w="606"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尚未审结</w:t>
            </w:r>
          </w:p>
        </w:tc>
        <w:tc>
          <w:tcPr>
            <w:tcW w:w="606"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1</w:t>
            </w:r>
          </w:p>
        </w:tc>
        <w:tc>
          <w:tcPr>
            <w:tcW w:w="604"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default" w:ascii="仿宋_GB2312" w:hAnsi="仿宋_GB2312" w:eastAsia="仿宋_GB2312" w:cs="仿宋_GB2312"/>
                <w:color w:val="000000"/>
                <w:sz w:val="32"/>
                <w:szCs w:val="32"/>
                <w:lang w:val="en-US"/>
              </w:rPr>
            </w:pPr>
            <w:r>
              <w:rPr>
                <w:rFonts w:hint="eastAsia" w:ascii="仿宋_GB2312" w:hAnsi="仿宋_GB2312" w:eastAsia="仿宋_GB2312" w:cs="仿宋_GB2312"/>
                <w:color w:val="000000"/>
                <w:kern w:val="0"/>
                <w:sz w:val="32"/>
                <w:szCs w:val="32"/>
                <w:lang w:val="en-US" w:eastAsia="zh-CN"/>
              </w:rPr>
              <w:t>0</w:t>
            </w:r>
          </w:p>
        </w:tc>
        <w:tc>
          <w:tcPr>
            <w:tcW w:w="604"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0</w:t>
            </w:r>
          </w:p>
        </w:tc>
        <w:tc>
          <w:tcPr>
            <w:tcW w:w="604"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0</w:t>
            </w:r>
          </w:p>
        </w:tc>
        <w:tc>
          <w:tcPr>
            <w:tcW w:w="658"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default" w:ascii="仿宋_GB2312" w:hAnsi="仿宋_GB2312" w:eastAsia="仿宋_GB2312" w:cs="仿宋_GB2312"/>
                <w:color w:val="000000"/>
                <w:sz w:val="32"/>
                <w:szCs w:val="32"/>
                <w:lang w:val="en-US"/>
              </w:rPr>
            </w:pPr>
            <w:r>
              <w:rPr>
                <w:rFonts w:hint="eastAsia" w:ascii="仿宋_GB2312" w:hAnsi="仿宋_GB2312" w:eastAsia="仿宋_GB2312" w:cs="仿宋_GB2312"/>
                <w:color w:val="000000"/>
                <w:kern w:val="0"/>
                <w:sz w:val="32"/>
                <w:szCs w:val="32"/>
                <w:lang w:val="en-US" w:eastAsia="zh-CN"/>
              </w:rPr>
              <w:t>1</w:t>
            </w:r>
          </w:p>
        </w:tc>
        <w:tc>
          <w:tcPr>
            <w:tcW w:w="55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default" w:ascii="仿宋_GB2312" w:hAnsi="仿宋_GB2312" w:eastAsia="仿宋_GB2312" w:cs="仿宋_GB2312"/>
                <w:color w:val="000000"/>
                <w:sz w:val="32"/>
                <w:szCs w:val="32"/>
                <w:lang w:val="en-US"/>
              </w:rPr>
            </w:pPr>
            <w:r>
              <w:rPr>
                <w:rFonts w:hint="eastAsia" w:ascii="仿宋_GB2312" w:hAnsi="仿宋_GB2312" w:eastAsia="仿宋_GB2312" w:cs="仿宋_GB2312"/>
                <w:color w:val="000000"/>
                <w:kern w:val="0"/>
                <w:sz w:val="32"/>
                <w:szCs w:val="32"/>
                <w:lang w:val="en-US" w:eastAsia="zh-CN"/>
              </w:rPr>
              <w:t>1</w:t>
            </w:r>
          </w:p>
        </w:tc>
        <w:tc>
          <w:tcPr>
            <w:tcW w:w="6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default" w:ascii="仿宋_GB2312" w:hAnsi="仿宋_GB2312" w:eastAsia="仿宋_GB2312" w:cs="仿宋_GB2312"/>
                <w:color w:val="000000"/>
                <w:sz w:val="32"/>
                <w:szCs w:val="32"/>
                <w:lang w:val="en-US"/>
              </w:rPr>
            </w:pPr>
            <w:r>
              <w:rPr>
                <w:rFonts w:hint="eastAsia" w:ascii="仿宋_GB2312" w:hAnsi="仿宋_GB2312" w:eastAsia="仿宋_GB2312" w:cs="仿宋_GB2312"/>
                <w:color w:val="000000"/>
                <w:kern w:val="0"/>
                <w:sz w:val="32"/>
                <w:szCs w:val="32"/>
                <w:lang w:val="en-US" w:eastAsia="zh-CN"/>
              </w:rPr>
              <w:t>0</w:t>
            </w:r>
          </w:p>
        </w:tc>
        <w:tc>
          <w:tcPr>
            <w:tcW w:w="6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default" w:ascii="仿宋_GB2312" w:hAnsi="仿宋_GB2312" w:eastAsia="仿宋_GB2312" w:cs="仿宋_GB2312"/>
                <w:color w:val="000000"/>
                <w:sz w:val="32"/>
                <w:szCs w:val="32"/>
                <w:lang w:val="en-US"/>
              </w:rPr>
            </w:pPr>
            <w:r>
              <w:rPr>
                <w:rFonts w:hint="eastAsia" w:ascii="仿宋_GB2312" w:hAnsi="仿宋_GB2312" w:eastAsia="仿宋_GB2312" w:cs="仿宋_GB2312"/>
                <w:color w:val="000000"/>
                <w:kern w:val="0"/>
                <w:sz w:val="32"/>
                <w:szCs w:val="32"/>
                <w:lang w:val="en-US" w:eastAsia="zh-CN"/>
              </w:rPr>
              <w:t>0</w:t>
            </w:r>
          </w:p>
        </w:tc>
        <w:tc>
          <w:tcPr>
            <w:tcW w:w="6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default" w:ascii="仿宋_GB2312" w:hAnsi="仿宋_GB2312" w:eastAsia="仿宋_GB2312" w:cs="仿宋_GB2312"/>
                <w:color w:val="000000"/>
                <w:sz w:val="32"/>
                <w:szCs w:val="32"/>
                <w:lang w:val="en-US"/>
              </w:rPr>
            </w:pPr>
            <w:r>
              <w:rPr>
                <w:rFonts w:hint="eastAsia" w:ascii="仿宋_GB2312" w:hAnsi="仿宋_GB2312" w:eastAsia="仿宋_GB2312" w:cs="仿宋_GB2312"/>
                <w:color w:val="000000"/>
                <w:kern w:val="0"/>
                <w:sz w:val="32"/>
                <w:szCs w:val="32"/>
                <w:lang w:val="en-US" w:eastAsia="zh-CN"/>
              </w:rPr>
              <w:t>1</w:t>
            </w:r>
          </w:p>
        </w:tc>
        <w:tc>
          <w:tcPr>
            <w:tcW w:w="6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2</w:t>
            </w:r>
          </w:p>
        </w:tc>
        <w:tc>
          <w:tcPr>
            <w:tcW w:w="6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default" w:ascii="仿宋_GB2312" w:hAnsi="仿宋_GB2312" w:eastAsia="仿宋_GB2312" w:cs="仿宋_GB2312"/>
                <w:color w:val="000000"/>
                <w:sz w:val="32"/>
                <w:szCs w:val="32"/>
                <w:lang w:val="en-US"/>
              </w:rPr>
            </w:pPr>
            <w:r>
              <w:rPr>
                <w:rFonts w:hint="eastAsia" w:ascii="仿宋_GB2312" w:hAnsi="仿宋_GB2312" w:eastAsia="仿宋_GB2312" w:cs="仿宋_GB2312"/>
                <w:color w:val="000000"/>
                <w:kern w:val="0"/>
                <w:sz w:val="32"/>
                <w:szCs w:val="32"/>
                <w:lang w:val="en-US" w:eastAsia="zh-CN"/>
              </w:rPr>
              <w:t>1</w:t>
            </w:r>
          </w:p>
        </w:tc>
        <w:tc>
          <w:tcPr>
            <w:tcW w:w="6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default" w:ascii="仿宋_GB2312" w:hAnsi="仿宋_GB2312" w:eastAsia="仿宋_GB2312" w:cs="仿宋_GB2312"/>
                <w:color w:val="000000"/>
                <w:sz w:val="32"/>
                <w:szCs w:val="32"/>
                <w:lang w:val="en-US"/>
              </w:rPr>
            </w:pPr>
            <w:r>
              <w:rPr>
                <w:rFonts w:hint="eastAsia" w:ascii="仿宋_GB2312" w:hAnsi="仿宋_GB2312" w:eastAsia="仿宋_GB2312" w:cs="仿宋_GB2312"/>
                <w:color w:val="000000"/>
                <w:kern w:val="0"/>
                <w:sz w:val="32"/>
                <w:szCs w:val="32"/>
                <w:lang w:val="en-US" w:eastAsia="zh-CN"/>
              </w:rPr>
              <w:t>0</w:t>
            </w:r>
          </w:p>
        </w:tc>
        <w:tc>
          <w:tcPr>
            <w:tcW w:w="6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default" w:ascii="仿宋_GB2312" w:hAnsi="仿宋_GB2312" w:eastAsia="仿宋_GB2312" w:cs="仿宋_GB2312"/>
                <w:color w:val="000000"/>
                <w:sz w:val="32"/>
                <w:szCs w:val="32"/>
                <w:lang w:val="en-US"/>
              </w:rPr>
            </w:pPr>
            <w:r>
              <w:rPr>
                <w:rFonts w:hint="eastAsia" w:ascii="仿宋_GB2312" w:hAnsi="仿宋_GB2312" w:eastAsia="仿宋_GB2312" w:cs="仿宋_GB2312"/>
                <w:color w:val="000000"/>
                <w:kern w:val="0"/>
                <w:sz w:val="32"/>
                <w:szCs w:val="32"/>
                <w:lang w:val="en-US" w:eastAsia="zh-CN"/>
              </w:rPr>
              <w:t>0</w:t>
            </w:r>
          </w:p>
        </w:tc>
        <w:tc>
          <w:tcPr>
            <w:tcW w:w="606"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default" w:ascii="仿宋_GB2312" w:hAnsi="仿宋_GB2312" w:eastAsia="仿宋_GB2312" w:cs="仿宋_GB2312"/>
                <w:color w:val="000000"/>
                <w:sz w:val="32"/>
                <w:szCs w:val="32"/>
                <w:lang w:val="en-US"/>
              </w:rPr>
            </w:pPr>
            <w:r>
              <w:rPr>
                <w:rFonts w:hint="eastAsia" w:ascii="仿宋_GB2312" w:hAnsi="仿宋_GB2312" w:eastAsia="仿宋_GB2312" w:cs="仿宋_GB2312"/>
                <w:color w:val="000000"/>
                <w:kern w:val="0"/>
                <w:sz w:val="32"/>
                <w:szCs w:val="32"/>
                <w:lang w:val="en-US" w:eastAsia="zh-CN"/>
              </w:rPr>
              <w:t>0</w:t>
            </w:r>
          </w:p>
        </w:tc>
        <w:tc>
          <w:tcPr>
            <w:tcW w:w="606"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Lines="0"/>
              <w:jc w:val="center"/>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1</w:t>
            </w:r>
          </w:p>
        </w:tc>
      </w:tr>
    </w:tbl>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宋体" w:hAnsi="宋体"/>
          <w:color w:val="000000"/>
          <w:sz w:val="24"/>
        </w:rPr>
      </w:pPr>
      <w:r>
        <w:rPr>
          <w:rFonts w:hint="eastAsia" w:ascii="黑体" w:hAnsi="黑体" w:eastAsia="黑体" w:cs="黑体"/>
          <w:b w:val="0"/>
          <w:bCs/>
          <w:color w:val="000000"/>
          <w:sz w:val="32"/>
          <w:szCs w:val="32"/>
        </w:rPr>
        <w:t>五、存在的主要问题及改进情况</w:t>
      </w: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2020</w:t>
      </w:r>
      <w:r>
        <w:rPr>
          <w:rFonts w:hint="eastAsia" w:ascii="仿宋_GB2312" w:hAnsi="仿宋_GB2312" w:eastAsia="仿宋_GB2312" w:cs="仿宋_GB2312"/>
          <w:color w:val="000000"/>
          <w:sz w:val="32"/>
          <w:szCs w:val="32"/>
        </w:rPr>
        <w:t>年，宁波市公安局北仑分局的政府信息公开</w:t>
      </w:r>
      <w:r>
        <w:rPr>
          <w:rFonts w:hint="eastAsia" w:ascii="仿宋_GB2312" w:hAnsi="仿宋_GB2312" w:eastAsia="仿宋_GB2312" w:cs="仿宋_GB2312"/>
          <w:color w:val="000000"/>
          <w:sz w:val="32"/>
          <w:szCs w:val="32"/>
          <w:lang w:eastAsia="zh-CN"/>
        </w:rPr>
        <w:t>工作虽开展得有声有色</w:t>
      </w:r>
      <w:r>
        <w:rPr>
          <w:rFonts w:hint="eastAsia" w:ascii="仿宋_GB2312" w:hAnsi="仿宋_GB2312" w:eastAsia="仿宋_GB2312" w:cs="仿宋_GB2312"/>
          <w:color w:val="000000"/>
          <w:sz w:val="32"/>
          <w:szCs w:val="32"/>
        </w:rPr>
        <w:t>，但仍然存在一些问题：</w:t>
      </w:r>
      <w:r>
        <w:rPr>
          <w:rFonts w:hint="eastAsia" w:ascii="仿宋_GB2312" w:hAnsi="仿宋_GB2312" w:eastAsia="仿宋_GB2312" w:cs="仿宋_GB2312"/>
          <w:color w:val="000000"/>
          <w:sz w:val="32"/>
          <w:szCs w:val="32"/>
          <w:lang w:eastAsia="zh-CN"/>
        </w:rPr>
        <w:t>虽然信息公开的数量较之去年已全面提升，纵向对比大有进步，但横向对比其他公安分局还稍有差距；公安分局在政务网的信息公开工作同新媒体的联动还可以加强，持续提高</w:t>
      </w:r>
      <w:r>
        <w:rPr>
          <w:rFonts w:hint="eastAsia" w:ascii="仿宋_GB2312" w:hAnsi="仿宋_GB2312" w:eastAsia="仿宋_GB2312" w:cs="仿宋_GB2312"/>
          <w:color w:val="000000"/>
          <w:sz w:val="32"/>
          <w:szCs w:val="32"/>
        </w:rPr>
        <w:t>政府信息公开</w:t>
      </w:r>
      <w:r>
        <w:rPr>
          <w:rFonts w:hint="eastAsia" w:ascii="仿宋_GB2312" w:hAnsi="仿宋_GB2312" w:eastAsia="仿宋_GB2312" w:cs="仿宋_GB2312"/>
          <w:color w:val="000000"/>
          <w:sz w:val="32"/>
          <w:szCs w:val="32"/>
          <w:lang w:eastAsia="zh-CN"/>
        </w:rPr>
        <w:t>工作</w:t>
      </w:r>
      <w:r>
        <w:rPr>
          <w:rFonts w:hint="eastAsia" w:ascii="仿宋_GB2312" w:hAnsi="仿宋_GB2312" w:eastAsia="仿宋_GB2312" w:cs="仿宋_GB2312"/>
          <w:color w:val="000000"/>
          <w:sz w:val="32"/>
          <w:szCs w:val="32"/>
        </w:rPr>
        <w:t>的深度</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针对这些问题，在</w:t>
      </w:r>
      <w:r>
        <w:rPr>
          <w:rFonts w:hint="eastAsia" w:ascii="仿宋_GB2312" w:hAnsi="仿宋_GB2312" w:eastAsia="仿宋_GB2312" w:cs="仿宋_GB2312"/>
          <w:color w:val="000000"/>
          <w:sz w:val="32"/>
          <w:szCs w:val="32"/>
          <w:lang w:eastAsia="zh-CN"/>
        </w:rPr>
        <w:t>接下来</w:t>
      </w:r>
      <w:r>
        <w:rPr>
          <w:rFonts w:hint="eastAsia" w:ascii="仿宋_GB2312" w:hAnsi="仿宋_GB2312" w:eastAsia="仿宋_GB2312" w:cs="仿宋_GB2312"/>
          <w:color w:val="000000"/>
          <w:sz w:val="32"/>
          <w:szCs w:val="32"/>
        </w:rPr>
        <w:t>的一年</w:t>
      </w:r>
      <w:r>
        <w:rPr>
          <w:rFonts w:hint="eastAsia" w:ascii="仿宋_GB2312" w:hAnsi="仿宋_GB2312" w:eastAsia="仿宋_GB2312" w:cs="仿宋_GB2312"/>
          <w:color w:val="000000"/>
          <w:sz w:val="32"/>
          <w:szCs w:val="32"/>
          <w:lang w:eastAsia="zh-CN"/>
        </w:rPr>
        <w:t>里</w:t>
      </w:r>
      <w:r>
        <w:rPr>
          <w:rFonts w:hint="eastAsia" w:ascii="仿宋_GB2312" w:hAnsi="仿宋_GB2312" w:eastAsia="仿宋_GB2312" w:cs="仿宋_GB2312"/>
          <w:color w:val="000000"/>
          <w:sz w:val="32"/>
          <w:szCs w:val="32"/>
        </w:rPr>
        <w:t>，宁波市公安局北仑分局会认真学习和钻研，全面提高政府信息公开的质量和水平。</w:t>
      </w:r>
    </w:p>
    <w:p>
      <w:pPr>
        <w:pStyle w:val="2"/>
        <w:keepNext w:val="0"/>
        <w:keepLines w:val="0"/>
        <w:pageBreakBefore w:val="0"/>
        <w:widowControl/>
        <w:numPr>
          <w:ilvl w:val="0"/>
          <w:numId w:val="0"/>
        </w:numPr>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lang w:eastAsia="zh-CN"/>
        </w:rPr>
        <w:t>六、</w:t>
      </w:r>
      <w:r>
        <w:rPr>
          <w:rFonts w:hint="eastAsia" w:ascii="黑体" w:hAnsi="黑体" w:eastAsia="黑体" w:cs="黑体"/>
          <w:b w:val="0"/>
          <w:bCs/>
          <w:color w:val="000000"/>
          <w:sz w:val="32"/>
          <w:szCs w:val="32"/>
        </w:rPr>
        <w:t>其他需要报告的事项</w:t>
      </w: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本年度无其他需要报告的事项。</w:t>
      </w: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color w:val="000000"/>
          <w:sz w:val="32"/>
          <w:szCs w:val="32"/>
        </w:rPr>
      </w:pP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jc w:val="righ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宁波市公安局北仑分局</w:t>
      </w: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jc w:val="righ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年1月</w:t>
      </w:r>
      <w:r>
        <w:rPr>
          <w:rFonts w:hint="eastAsia" w:ascii="仿宋_GB2312" w:hAnsi="仿宋_GB2312" w:eastAsia="仿宋_GB2312" w:cs="仿宋_GB2312"/>
          <w:color w:val="000000"/>
          <w:sz w:val="32"/>
          <w:szCs w:val="32"/>
          <w:lang w:val="en-US" w:eastAsia="zh-CN"/>
        </w:rPr>
        <w:t>22</w:t>
      </w:r>
      <w:r>
        <w:rPr>
          <w:rFonts w:hint="eastAsia" w:ascii="仿宋_GB2312" w:hAnsi="仿宋_GB2312" w:eastAsia="仿宋_GB2312" w:cs="仿宋_GB2312"/>
          <w:color w:val="000000"/>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6232D7"/>
    <w:multiLevelType w:val="singleLevel"/>
    <w:tmpl w:val="8E6232D7"/>
    <w:lvl w:ilvl="0" w:tentative="0">
      <w:start w:val="2"/>
      <w:numFmt w:val="decimal"/>
      <w:suff w:val="nothing"/>
      <w:lvlText w:val="（%1）"/>
      <w:lvlJc w:val="left"/>
    </w:lvl>
  </w:abstractNum>
  <w:abstractNum w:abstractNumId="1">
    <w:nsid w:val="9A73D350"/>
    <w:multiLevelType w:val="singleLevel"/>
    <w:tmpl w:val="9A73D350"/>
    <w:lvl w:ilvl="0" w:tentative="0">
      <w:start w:val="5"/>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6E32BA"/>
    <w:rsid w:val="125236B9"/>
    <w:rsid w:val="163E63E6"/>
    <w:rsid w:val="1D3163BC"/>
    <w:rsid w:val="2F231856"/>
    <w:rsid w:val="36A17AFD"/>
    <w:rsid w:val="3A6C0F8B"/>
    <w:rsid w:val="3C2D3D62"/>
    <w:rsid w:val="3DB854CF"/>
    <w:rsid w:val="48D64FD8"/>
    <w:rsid w:val="4F6C4DFB"/>
    <w:rsid w:val="505F6CA4"/>
    <w:rsid w:val="50F1546E"/>
    <w:rsid w:val="51DA249F"/>
    <w:rsid w:val="52F12E21"/>
    <w:rsid w:val="577A67B7"/>
    <w:rsid w:val="67EA460A"/>
    <w:rsid w:val="68DE7F35"/>
    <w:rsid w:val="6BEB7C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0"/>
    <w:pPr>
      <w:spacing w:beforeLines="0" w:afterLines="0"/>
      <w:jc w:val="both"/>
    </w:pPr>
    <w:rPr>
      <w:rFonts w:hint="default" w:ascii="Times New Roman" w:hAnsi="Times New Roman" w:eastAsia="宋体" w:cs="Times New Roman"/>
      <w:kern w:val="2"/>
      <w:sz w:val="21"/>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spacing w:before="100" w:beforeLines="0" w:beforeAutospacing="1" w:after="100" w:afterLines="0" w:afterAutospacing="1"/>
      <w:jc w:val="left"/>
    </w:pPr>
    <w:rPr>
      <w:rFonts w:hint="default"/>
      <w:kern w:val="0"/>
      <w:sz w:val="24"/>
      <w:lang w:val="en-US"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2021-01-20T07:05:00Z</dcterms:created>
  <dc:creator>Administrator.Micro-2019IRVYQ</dc:creator>
  <cp:lastModifiedBy>Administrator</cp:lastModifiedBy>
  <dcterms:modified xsi:type="dcterms:W3CDTF">2021-04-02T01:52:01Z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A1161A563D494C80B7C8A15242D9638E</vt:lpwstr>
  </property>
</Properties>
</file>