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420"/>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w:t>
      </w:r>
      <w:r>
        <w:rPr>
          <w:rFonts w:hint="eastAsia" w:ascii="方正小标宋简体" w:hAnsi="方正小标宋简体" w:eastAsia="方正小标宋简体" w:cs="方正小标宋简体"/>
          <w:sz w:val="44"/>
          <w:szCs w:val="44"/>
          <w:lang w:val="en-US" w:eastAsia="zh-CN"/>
        </w:rPr>
        <w:t>23</w:t>
      </w:r>
      <w:r>
        <w:rPr>
          <w:rFonts w:hint="eastAsia" w:ascii="方正小标宋简体" w:hAnsi="方正小标宋简体" w:eastAsia="方正小标宋简体" w:cs="方正小标宋简体"/>
          <w:sz w:val="44"/>
          <w:szCs w:val="44"/>
        </w:rPr>
        <w:t>年度北仑区供销合作社联合社</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420"/>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政府信息公开工作年度报告</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420"/>
        <w:jc w:val="center"/>
        <w:textAlignment w:val="auto"/>
        <w:rPr>
          <w:rFonts w:hint="eastAsia" w:ascii="方正小标宋简体" w:hAnsi="方正小标宋简体" w:eastAsia="方正小标宋简体" w:cs="方正小标宋简体"/>
          <w:sz w:val="32"/>
          <w:szCs w:val="32"/>
        </w:rPr>
      </w:pPr>
    </w:p>
    <w:p>
      <w:pPr>
        <w:pStyle w:val="3"/>
        <w:keepNext w:val="0"/>
        <w:keepLines w:val="0"/>
        <w:widowControl/>
        <w:suppressLineNumbers w:val="0"/>
        <w:spacing w:before="0" w:beforeAutospacing="0" w:after="0" w:afterAutospacing="0" w:line="420" w:lineRule="atLeast"/>
        <w:ind w:right="0"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根据</w:t>
      </w:r>
      <w:r>
        <w:rPr>
          <w:rFonts w:hint="eastAsia" w:ascii="仿宋_GB2312" w:hAnsi="仿宋_GB2312" w:eastAsia="仿宋_GB2312" w:cs="仿宋_GB2312"/>
          <w:color w:val="auto"/>
          <w:sz w:val="32"/>
          <w:szCs w:val="32"/>
          <w:shd w:val="clear" w:color="auto" w:fill="FFFFFF"/>
          <w:lang w:eastAsia="zh-CN"/>
        </w:rPr>
        <w:t>新修订的</w:t>
      </w:r>
      <w:r>
        <w:rPr>
          <w:rFonts w:hint="eastAsia" w:ascii="仿宋_GB2312" w:hAnsi="仿宋_GB2312" w:eastAsia="仿宋_GB2312" w:cs="仿宋_GB2312"/>
          <w:color w:val="auto"/>
          <w:sz w:val="32"/>
          <w:szCs w:val="32"/>
          <w:shd w:val="clear" w:color="auto" w:fill="FFFFFF"/>
        </w:rPr>
        <w:t>《中华人民共和国政府信息公开条例》</w:t>
      </w:r>
      <w:r>
        <w:rPr>
          <w:rFonts w:hint="eastAsia" w:ascii="仿宋_GB2312" w:hAnsi="仿宋_GB2312" w:eastAsia="仿宋_GB2312" w:cs="仿宋_GB2312"/>
          <w:color w:val="auto"/>
          <w:sz w:val="32"/>
          <w:szCs w:val="32"/>
          <w:shd w:val="clear" w:color="auto" w:fill="FFFFFF"/>
          <w:lang w:eastAsia="zh-CN"/>
        </w:rPr>
        <w:t>规定</w:t>
      </w:r>
      <w:r>
        <w:rPr>
          <w:rFonts w:hint="eastAsia" w:ascii="仿宋_GB2312" w:hAnsi="仿宋_GB2312" w:eastAsia="仿宋_GB2312" w:cs="仿宋_GB2312"/>
          <w:color w:val="auto"/>
          <w:sz w:val="32"/>
          <w:szCs w:val="32"/>
          <w:shd w:val="clear" w:color="auto" w:fill="FFFFFF"/>
        </w:rPr>
        <w:t>和《</w:t>
      </w:r>
      <w:r>
        <w:rPr>
          <w:rFonts w:hint="eastAsia" w:ascii="仿宋_GB2312" w:hAnsi="仿宋_GB2312" w:eastAsia="仿宋_GB2312" w:cs="仿宋_GB2312"/>
          <w:color w:val="auto"/>
          <w:sz w:val="32"/>
          <w:szCs w:val="32"/>
          <w:shd w:val="clear" w:color="auto" w:fill="FFFFFF"/>
          <w:lang w:eastAsia="zh-CN"/>
        </w:rPr>
        <w:t>国务院办公厅政府信息与政务公开办公室关于印发中华人民共和国政府信息公开工作年度报告格式的通知</w:t>
      </w:r>
      <w:r>
        <w:rPr>
          <w:rFonts w:hint="eastAsia" w:ascii="仿宋_GB2312" w:hAnsi="仿宋_GB2312" w:eastAsia="仿宋_GB2312" w:cs="仿宋_GB2312"/>
          <w:color w:val="auto"/>
          <w:sz w:val="32"/>
          <w:szCs w:val="32"/>
          <w:shd w:val="clear" w:color="auto" w:fill="FFFFFF"/>
        </w:rPr>
        <w:t>》</w:t>
      </w:r>
      <w:r>
        <w:rPr>
          <w:rFonts w:hint="eastAsia" w:ascii="仿宋_GB2312" w:hAnsi="仿宋_GB2312" w:eastAsia="仿宋_GB2312" w:cs="仿宋_GB2312"/>
          <w:color w:val="auto"/>
          <w:sz w:val="32"/>
          <w:szCs w:val="32"/>
          <w:shd w:val="clear" w:color="auto" w:fill="FFFFFF"/>
          <w:lang w:eastAsia="zh-CN"/>
        </w:rPr>
        <w:t>（国办公开办函﹝</w:t>
      </w:r>
      <w:r>
        <w:rPr>
          <w:rFonts w:hint="eastAsia" w:ascii="仿宋_GB2312" w:hAnsi="仿宋_GB2312" w:eastAsia="仿宋_GB2312" w:cs="仿宋_GB2312"/>
          <w:color w:val="auto"/>
          <w:sz w:val="32"/>
          <w:szCs w:val="32"/>
          <w:shd w:val="clear" w:color="auto" w:fill="FFFFFF"/>
          <w:lang w:val="en-US" w:eastAsia="zh-CN"/>
        </w:rPr>
        <w:t>2021</w:t>
      </w:r>
      <w:r>
        <w:rPr>
          <w:rFonts w:hint="eastAsia" w:ascii="仿宋_GB2312" w:hAnsi="仿宋_GB2312" w:eastAsia="仿宋_GB2312" w:cs="仿宋_GB2312"/>
          <w:color w:val="auto"/>
          <w:sz w:val="32"/>
          <w:szCs w:val="32"/>
          <w:shd w:val="clear" w:color="auto" w:fill="FFFFFF"/>
          <w:lang w:eastAsia="zh-CN"/>
        </w:rPr>
        <w:t>﹞</w:t>
      </w:r>
      <w:r>
        <w:rPr>
          <w:rFonts w:hint="eastAsia" w:ascii="仿宋_GB2312" w:hAnsi="仿宋_GB2312" w:eastAsia="仿宋_GB2312" w:cs="仿宋_GB2312"/>
          <w:color w:val="auto"/>
          <w:sz w:val="32"/>
          <w:szCs w:val="32"/>
          <w:shd w:val="clear" w:color="auto" w:fill="FFFFFF"/>
          <w:lang w:val="en-US" w:eastAsia="zh-CN"/>
        </w:rPr>
        <w:t>30号</w:t>
      </w:r>
      <w:r>
        <w:rPr>
          <w:rFonts w:hint="eastAsia" w:ascii="仿宋_GB2312" w:hAnsi="仿宋_GB2312" w:eastAsia="仿宋_GB2312" w:cs="仿宋_GB2312"/>
          <w:color w:val="auto"/>
          <w:sz w:val="32"/>
          <w:szCs w:val="32"/>
          <w:shd w:val="clear" w:color="auto" w:fill="FFFFFF"/>
          <w:lang w:eastAsia="zh-CN"/>
        </w:rPr>
        <w:t>）</w:t>
      </w:r>
      <w:r>
        <w:rPr>
          <w:rFonts w:hint="eastAsia" w:ascii="仿宋_GB2312" w:hAnsi="仿宋_GB2312" w:eastAsia="仿宋_GB2312" w:cs="仿宋_GB2312"/>
          <w:color w:val="auto"/>
          <w:sz w:val="32"/>
          <w:szCs w:val="32"/>
          <w:shd w:val="clear" w:color="auto" w:fill="FFFFFF"/>
        </w:rPr>
        <w:t>要求，</w:t>
      </w:r>
      <w:r>
        <w:rPr>
          <w:rFonts w:hint="eastAsia" w:ascii="仿宋_GB2312" w:hAnsi="仿宋_GB2312" w:eastAsia="仿宋_GB2312" w:cs="仿宋_GB2312"/>
          <w:color w:val="auto"/>
          <w:sz w:val="32"/>
          <w:szCs w:val="32"/>
          <w:shd w:val="clear" w:color="auto" w:fill="FFFFFF"/>
          <w:lang w:eastAsia="zh-CN"/>
        </w:rPr>
        <w:t>本单位不断创新监督方式</w:t>
      </w:r>
      <w:r>
        <w:rPr>
          <w:rFonts w:hint="eastAsia" w:ascii="仿宋_GB2312" w:hAnsi="仿宋_GB2312" w:eastAsia="仿宋_GB2312" w:cs="仿宋_GB2312"/>
          <w:color w:val="auto"/>
          <w:sz w:val="32"/>
          <w:szCs w:val="32"/>
          <w:shd w:val="clear" w:color="auto" w:fill="FFFFFF"/>
          <w:lang w:val="en-US" w:eastAsia="zh-CN"/>
        </w:rPr>
        <w:t>,提升政务公开工作水平。</w:t>
      </w:r>
      <w:r>
        <w:rPr>
          <w:rFonts w:hint="eastAsia" w:ascii="仿宋_GB2312" w:hAnsi="仿宋_GB2312" w:eastAsia="仿宋_GB2312" w:cs="仿宋_GB2312"/>
          <w:color w:val="auto"/>
          <w:sz w:val="32"/>
          <w:szCs w:val="32"/>
          <w:shd w:val="clear" w:color="auto" w:fill="FFFFFF"/>
        </w:rPr>
        <w:t>现公布20</w:t>
      </w:r>
      <w:r>
        <w:rPr>
          <w:rFonts w:hint="eastAsia" w:ascii="仿宋_GB2312" w:hAnsi="仿宋_GB2312" w:eastAsia="仿宋_GB2312" w:cs="仿宋_GB2312"/>
          <w:color w:val="auto"/>
          <w:sz w:val="32"/>
          <w:szCs w:val="32"/>
          <w:shd w:val="clear" w:color="auto" w:fill="FFFFFF"/>
          <w:lang w:val="en-US" w:eastAsia="zh-CN"/>
        </w:rPr>
        <w:t>23</w:t>
      </w:r>
      <w:r>
        <w:rPr>
          <w:rFonts w:hint="eastAsia" w:ascii="仿宋_GB2312" w:hAnsi="仿宋_GB2312" w:eastAsia="仿宋_GB2312" w:cs="仿宋_GB2312"/>
          <w:color w:val="auto"/>
          <w:sz w:val="32"/>
          <w:szCs w:val="32"/>
          <w:shd w:val="clear" w:color="auto" w:fill="FFFFFF"/>
        </w:rPr>
        <w:t>年度北仑区供销合作社联合社政府信息公开工作年度报告</w:t>
      </w:r>
      <w:r>
        <w:rPr>
          <w:rFonts w:hint="eastAsia" w:ascii="仿宋_GB2312" w:hAnsi="仿宋_GB2312" w:eastAsia="仿宋_GB2312" w:cs="仿宋_GB2312"/>
          <w:color w:val="auto"/>
          <w:sz w:val="32"/>
          <w:szCs w:val="32"/>
          <w:shd w:val="clear" w:color="auto" w:fill="FFFFFF"/>
          <w:lang w:eastAsia="zh-CN"/>
        </w:rPr>
        <w:t>。</w:t>
      </w:r>
      <w:r>
        <w:rPr>
          <w:rFonts w:hint="eastAsia" w:ascii="仿宋_GB2312" w:hAnsi="仿宋_GB2312" w:eastAsia="仿宋_GB2312" w:cs="仿宋_GB2312"/>
          <w:color w:val="auto"/>
          <w:sz w:val="32"/>
          <w:szCs w:val="32"/>
          <w:shd w:val="clear" w:color="auto" w:fill="FFFFFF"/>
        </w:rPr>
        <w:t>本报告所列数据的统</w:t>
      </w:r>
      <w:bookmarkStart w:id="0" w:name="_GoBack"/>
      <w:bookmarkEnd w:id="0"/>
      <w:r>
        <w:rPr>
          <w:rFonts w:hint="eastAsia" w:ascii="仿宋_GB2312" w:hAnsi="仿宋_GB2312" w:eastAsia="仿宋_GB2312" w:cs="仿宋_GB2312"/>
          <w:color w:val="auto"/>
          <w:sz w:val="32"/>
          <w:szCs w:val="32"/>
          <w:shd w:val="clear" w:color="auto" w:fill="FFFFFF"/>
        </w:rPr>
        <w:t>计期限自202</w:t>
      </w:r>
      <w:r>
        <w:rPr>
          <w:rFonts w:hint="eastAsia" w:ascii="仿宋_GB2312" w:hAnsi="仿宋_GB2312" w:eastAsia="仿宋_GB2312" w:cs="仿宋_GB2312"/>
          <w:color w:val="auto"/>
          <w:sz w:val="32"/>
          <w:szCs w:val="32"/>
          <w:shd w:val="clear" w:color="auto" w:fill="FFFFFF"/>
          <w:lang w:val="en-US" w:eastAsia="zh-CN"/>
        </w:rPr>
        <w:t>3</w:t>
      </w:r>
      <w:r>
        <w:rPr>
          <w:rFonts w:hint="eastAsia" w:ascii="仿宋_GB2312" w:hAnsi="仿宋_GB2312" w:eastAsia="仿宋_GB2312" w:cs="仿宋_GB2312"/>
          <w:color w:val="auto"/>
          <w:sz w:val="32"/>
          <w:szCs w:val="32"/>
          <w:shd w:val="clear" w:color="auto" w:fill="FFFFFF"/>
        </w:rPr>
        <w:t>年1月1日起至12月31日止。</w:t>
      </w:r>
    </w:p>
    <w:p>
      <w:pPr>
        <w:pStyle w:val="3"/>
        <w:keepNext w:val="0"/>
        <w:keepLines w:val="0"/>
        <w:widowControl/>
        <w:suppressLineNumbers w:val="0"/>
        <w:spacing w:before="0" w:beforeAutospacing="0" w:after="0" w:afterAutospacing="0" w:line="420" w:lineRule="atLeast"/>
        <w:ind w:left="0" w:right="0" w:firstLine="420"/>
        <w:rPr>
          <w:rFonts w:hint="eastAsia" w:ascii="黑体" w:hAnsi="黑体" w:eastAsia="黑体" w:cs="黑体"/>
          <w:b w:val="0"/>
          <w:bCs w:val="0"/>
          <w:sz w:val="32"/>
          <w:szCs w:val="32"/>
          <w:lang w:eastAsia="zh-CN"/>
        </w:rPr>
      </w:pPr>
      <w:r>
        <w:rPr>
          <w:rFonts w:hint="eastAsia" w:ascii="黑体" w:hAnsi="黑体" w:eastAsia="黑体" w:cs="黑体"/>
          <w:b w:val="0"/>
          <w:bCs w:val="0"/>
          <w:sz w:val="32"/>
          <w:szCs w:val="32"/>
        </w:rPr>
        <w:t>一、</w:t>
      </w:r>
      <w:r>
        <w:rPr>
          <w:rFonts w:hint="eastAsia" w:ascii="黑体" w:hAnsi="黑体" w:eastAsia="黑体" w:cs="黑体"/>
          <w:b w:val="0"/>
          <w:bCs w:val="0"/>
          <w:sz w:val="32"/>
          <w:szCs w:val="32"/>
          <w:lang w:eastAsia="zh-CN"/>
        </w:rPr>
        <w:t>总体情况</w:t>
      </w:r>
    </w:p>
    <w:p>
      <w:pPr>
        <w:pStyle w:val="3"/>
        <w:keepNext w:val="0"/>
        <w:keepLines w:val="0"/>
        <w:widowControl/>
        <w:suppressLineNumbers w:val="0"/>
        <w:spacing w:before="0" w:beforeAutospacing="0" w:after="0" w:afterAutospacing="0" w:line="420" w:lineRule="atLeast"/>
        <w:ind w:right="0" w:firstLine="640" w:firstLineChars="200"/>
        <w:rPr>
          <w:rFonts w:hint="default"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2023年，供销联社加强重点领域信息公开，对政策文件、工作动态、重点民生领域等信息公开，力求做到动态更新。同时，结合政府信息公开，主动公开群众关切的政务工作，切实满足群众需求。通过政府门户网站、微信公众号等途径，公开各类政府信息45条。</w:t>
      </w:r>
    </w:p>
    <w:p>
      <w:pPr>
        <w:pStyle w:val="3"/>
        <w:keepNext w:val="0"/>
        <w:keepLines w:val="0"/>
        <w:widowControl/>
        <w:numPr>
          <w:ilvl w:val="0"/>
          <w:numId w:val="1"/>
        </w:numPr>
        <w:suppressLineNumbers w:val="0"/>
        <w:spacing w:before="0" w:beforeAutospacing="0" w:after="0" w:afterAutospacing="0" w:line="420" w:lineRule="atLeast"/>
        <w:ind w:left="0" w:right="0" w:firstLine="420"/>
        <w:rPr>
          <w:rFonts w:hint="eastAsia" w:ascii="仿宋_GB2312" w:hAnsi="仿宋_GB2312" w:eastAsia="仿宋_GB2312" w:cs="仿宋_GB2312"/>
          <w:sz w:val="32"/>
          <w:szCs w:val="32"/>
        </w:rPr>
      </w:pPr>
      <w:r>
        <w:rPr>
          <w:rFonts w:hint="eastAsia" w:ascii="仿宋_GB2312" w:hAnsi="仿宋_GB2312" w:eastAsia="仿宋_GB2312" w:cs="仿宋_GB2312"/>
          <w:color w:val="auto"/>
          <w:sz w:val="32"/>
          <w:szCs w:val="32"/>
          <w:shd w:val="clear" w:color="auto" w:fill="FFFFFF"/>
          <w:lang w:val="en-US" w:eastAsia="zh-CN"/>
        </w:rPr>
        <w:t>加强组织领导，政务公开工作机制逐步健全完善</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color w:val="auto"/>
          <w:sz w:val="32"/>
          <w:szCs w:val="32"/>
          <w:shd w:val="clear" w:color="auto" w:fill="FFFFFF"/>
          <w:lang w:val="en-US" w:eastAsia="zh-CN"/>
        </w:rPr>
        <w:t>坚持把政务公开和政务服务工作作为全年的重点工作来抓，成立了以单位一把手为组长，分管领导为副组长，办公室专人具体负责的政务公开工作领导小组，全面形成了一级抓一级，层层抓落实的工作体系。</w:t>
      </w:r>
    </w:p>
    <w:p>
      <w:pPr>
        <w:pStyle w:val="3"/>
        <w:keepNext w:val="0"/>
        <w:keepLines w:val="0"/>
        <w:widowControl/>
        <w:numPr>
          <w:ilvl w:val="0"/>
          <w:numId w:val="1"/>
        </w:numPr>
        <w:suppressLineNumbers w:val="0"/>
        <w:spacing w:before="0" w:beforeAutospacing="0" w:after="0" w:afterAutospacing="0" w:line="420" w:lineRule="atLeast"/>
        <w:ind w:left="0" w:right="0" w:firstLine="42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加强平台建设，着力搭建多渠道信息公开载体</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为便于公众了解和知悉更多的供销社信息，我社十分重视</w:t>
      </w:r>
      <w:r>
        <w:rPr>
          <w:rFonts w:hint="default" w:ascii="仿宋_GB2312" w:hAnsi="仿宋_GB2312" w:eastAsia="仿宋_GB2312" w:cs="仿宋_GB2312"/>
          <w:sz w:val="32"/>
          <w:szCs w:val="32"/>
          <w:lang w:val="en-US" w:eastAsia="zh-CN"/>
        </w:rPr>
        <w:t>搭建高效便捷的供销社信息公开载体。</w:t>
      </w:r>
      <w:r>
        <w:rPr>
          <w:rFonts w:hint="eastAsia" w:ascii="仿宋_GB2312" w:hAnsi="仿宋_GB2312" w:eastAsia="仿宋_GB2312" w:cs="仿宋_GB2312"/>
          <w:sz w:val="32"/>
          <w:szCs w:val="32"/>
          <w:lang w:val="en-US" w:eastAsia="zh-CN"/>
        </w:rPr>
        <w:t>不断</w:t>
      </w:r>
      <w:r>
        <w:rPr>
          <w:rFonts w:hint="default" w:ascii="仿宋_GB2312" w:hAnsi="仿宋_GB2312" w:eastAsia="仿宋_GB2312" w:cs="仿宋_GB2312"/>
          <w:sz w:val="32"/>
          <w:szCs w:val="32"/>
          <w:lang w:val="en-US" w:eastAsia="zh-CN"/>
        </w:rPr>
        <w:t>拓宽信息广度。今年入职了一批供销专干，分别派驻于各乡镇农合联，作为延伸供销社（农合联）基层服务的触角。同步收集基层供销社和农合联的农事服务、农资供应等信息，进一步拓宽了信息的广度。借助新闻媒体公布。主动对接中华时报媒体，</w:t>
      </w:r>
      <w:r>
        <w:rPr>
          <w:rFonts w:hint="eastAsia" w:ascii="仿宋_GB2312" w:hAnsi="仿宋_GB2312" w:eastAsia="仿宋_GB2312" w:cs="仿宋_GB2312"/>
          <w:sz w:val="32"/>
          <w:szCs w:val="32"/>
          <w:lang w:val="en-US" w:eastAsia="zh-CN"/>
        </w:rPr>
        <w:t>宁波日报、甬派等</w:t>
      </w:r>
      <w:r>
        <w:rPr>
          <w:rFonts w:hint="default" w:ascii="仿宋_GB2312" w:hAnsi="仿宋_GB2312" w:eastAsia="仿宋_GB2312" w:cs="仿宋_GB2312"/>
          <w:sz w:val="32"/>
          <w:szCs w:val="32"/>
          <w:lang w:val="en-US" w:eastAsia="zh-CN"/>
        </w:rPr>
        <w:t>将需要通过新闻媒体公布的重要情况及时向社会公众公开，不断提升供销社为农服务形象。</w:t>
      </w:r>
    </w:p>
    <w:p>
      <w:pPr>
        <w:pStyle w:val="3"/>
        <w:keepNext w:val="0"/>
        <w:keepLines w:val="0"/>
        <w:widowControl/>
        <w:numPr>
          <w:ilvl w:val="0"/>
          <w:numId w:val="1"/>
        </w:numPr>
        <w:suppressLineNumbers w:val="0"/>
        <w:spacing w:before="0" w:beforeAutospacing="0" w:after="0" w:afterAutospacing="0" w:line="420" w:lineRule="atLeast"/>
        <w:ind w:left="0" w:right="0" w:firstLine="420"/>
        <w:rPr>
          <w:rFonts w:hint="eastAsia"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加强监督力度，确保政务公开的质量。加大对政务公开的监督检查力度。采取定期检查与随机抽查相结合的方法，督促检查工作落实和责任到位情况。</w:t>
      </w:r>
    </w:p>
    <w:p>
      <w:pPr>
        <w:pStyle w:val="3"/>
        <w:keepNext w:val="0"/>
        <w:keepLines w:val="0"/>
        <w:widowControl/>
        <w:suppressLineNumbers w:val="0"/>
        <w:spacing w:before="0" w:beforeAutospacing="0" w:after="0" w:afterAutospacing="0" w:line="420" w:lineRule="atLeast"/>
        <w:ind w:left="0" w:right="0" w:firstLine="420"/>
        <w:rPr>
          <w:rFonts w:hint="eastAsia" w:ascii="黑体" w:hAnsi="黑体" w:eastAsia="黑体" w:cs="黑体"/>
          <w:sz w:val="30"/>
          <w:szCs w:val="30"/>
        </w:rPr>
      </w:pPr>
      <w:r>
        <w:rPr>
          <w:rFonts w:hint="eastAsia" w:ascii="黑体" w:hAnsi="黑体" w:eastAsia="黑体" w:cs="黑体"/>
          <w:b w:val="0"/>
          <w:bCs w:val="0"/>
          <w:sz w:val="32"/>
          <w:szCs w:val="32"/>
        </w:rPr>
        <w:t>二、主动公开政府信息的情况</w:t>
      </w:r>
    </w:p>
    <w:tbl>
      <w:tblPr>
        <w:tblStyle w:val="5"/>
        <w:tblW w:w="8533" w:type="dxa"/>
        <w:tblInd w:w="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08"/>
        <w:gridCol w:w="2492"/>
        <w:gridCol w:w="2268"/>
        <w:gridCol w:w="17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33" w:type="dxa"/>
            <w:gridSpan w:val="4"/>
            <w:shd w:val="clear" w:color="auto" w:fill="FFFFFF" w:themeFill="background1"/>
            <w:noWrap w:val="0"/>
            <w:vAlign w:val="top"/>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rPr>
            </w:pPr>
            <w:r>
              <w:rPr>
                <w:rFonts w:hint="eastAsia" w:ascii="黑体" w:hAnsi="黑体" w:eastAsia="黑体" w:cs="黑体"/>
                <w:b w:val="0"/>
                <w:bCs w:val="0"/>
                <w:sz w:val="24"/>
                <w:szCs w:val="24"/>
              </w:rPr>
              <w:t>第二十条第（一）项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008" w:type="dxa"/>
            <w:shd w:val="clear" w:color="auto" w:fill="FFFFFF" w:themeFill="background1"/>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rPr>
            </w:pPr>
            <w:r>
              <w:rPr>
                <w:rFonts w:hint="eastAsia" w:ascii="黑体" w:hAnsi="黑体" w:eastAsia="黑体" w:cs="黑体"/>
                <w:b w:val="0"/>
                <w:bCs w:val="0"/>
                <w:sz w:val="24"/>
                <w:szCs w:val="24"/>
              </w:rPr>
              <w:t>信息内容</w:t>
            </w:r>
          </w:p>
        </w:tc>
        <w:tc>
          <w:tcPr>
            <w:tcW w:w="2492" w:type="dxa"/>
            <w:shd w:val="clear" w:color="auto" w:fill="FFFFFF" w:themeFill="background1"/>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lang w:eastAsia="zh-CN"/>
              </w:rPr>
            </w:pPr>
            <w:r>
              <w:rPr>
                <w:rFonts w:hint="eastAsia" w:ascii="黑体" w:hAnsi="黑体" w:eastAsia="黑体" w:cs="黑体"/>
                <w:b w:val="0"/>
                <w:bCs w:val="0"/>
                <w:sz w:val="24"/>
                <w:szCs w:val="24"/>
              </w:rPr>
              <w:t>本年</w:t>
            </w:r>
            <w:r>
              <w:rPr>
                <w:rFonts w:hint="eastAsia" w:ascii="黑体" w:hAnsi="黑体" w:eastAsia="黑体" w:cs="黑体"/>
                <w:b w:val="0"/>
                <w:bCs w:val="0"/>
                <w:sz w:val="24"/>
                <w:szCs w:val="24"/>
                <w:lang w:eastAsia="zh-CN"/>
              </w:rPr>
              <w:t>制发件数</w:t>
            </w:r>
          </w:p>
        </w:tc>
        <w:tc>
          <w:tcPr>
            <w:tcW w:w="2268" w:type="dxa"/>
            <w:shd w:val="clear" w:color="auto" w:fill="FFFFFF" w:themeFill="background1"/>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lang w:eastAsia="zh-CN"/>
              </w:rPr>
            </w:pPr>
            <w:r>
              <w:rPr>
                <w:rFonts w:hint="eastAsia" w:ascii="黑体" w:hAnsi="黑体" w:eastAsia="黑体" w:cs="黑体"/>
                <w:b w:val="0"/>
                <w:bCs w:val="0"/>
                <w:sz w:val="24"/>
                <w:szCs w:val="24"/>
              </w:rPr>
              <w:t>本年</w:t>
            </w:r>
            <w:r>
              <w:rPr>
                <w:rFonts w:hint="eastAsia" w:ascii="黑体" w:hAnsi="黑体" w:eastAsia="黑体" w:cs="黑体"/>
                <w:b w:val="0"/>
                <w:bCs w:val="0"/>
                <w:sz w:val="24"/>
                <w:szCs w:val="24"/>
                <w:lang w:eastAsia="zh-CN"/>
              </w:rPr>
              <w:t>废止件数</w:t>
            </w:r>
          </w:p>
        </w:tc>
        <w:tc>
          <w:tcPr>
            <w:tcW w:w="1765" w:type="dxa"/>
            <w:shd w:val="clear" w:color="auto" w:fill="FFFFFF" w:themeFill="background1"/>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lang w:eastAsia="zh-CN"/>
              </w:rPr>
            </w:pPr>
            <w:r>
              <w:rPr>
                <w:rFonts w:hint="eastAsia" w:ascii="黑体" w:hAnsi="黑体" w:eastAsia="黑体" w:cs="黑体"/>
                <w:b w:val="0"/>
                <w:bCs w:val="0"/>
                <w:sz w:val="24"/>
                <w:szCs w:val="24"/>
                <w:lang w:eastAsia="zh-CN"/>
              </w:rPr>
              <w:t>现行有效件数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008" w:type="dxa"/>
            <w:shd w:val="clear" w:color="auto" w:fill="FFFFFF" w:themeFill="background1"/>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规章</w:t>
            </w:r>
          </w:p>
        </w:tc>
        <w:tc>
          <w:tcPr>
            <w:tcW w:w="2492" w:type="dxa"/>
            <w:shd w:val="clear" w:color="auto" w:fill="FFFFFF" w:themeFill="background1"/>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2268" w:type="dxa"/>
            <w:shd w:val="clear" w:color="auto" w:fill="FFFFFF" w:themeFill="background1"/>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1765" w:type="dxa"/>
            <w:shd w:val="clear" w:color="auto" w:fill="FFFFFF" w:themeFill="background1"/>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008" w:type="dxa"/>
            <w:shd w:val="clear" w:color="auto" w:fill="FFFFFF" w:themeFill="background1"/>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eastAsia="zh-CN"/>
              </w:rPr>
              <w:t>行政</w:t>
            </w:r>
            <w:r>
              <w:rPr>
                <w:rFonts w:hint="eastAsia" w:ascii="仿宋_GB2312" w:hAnsi="仿宋_GB2312" w:eastAsia="仿宋_GB2312" w:cs="仿宋_GB2312"/>
                <w:sz w:val="24"/>
                <w:szCs w:val="24"/>
              </w:rPr>
              <w:t>规范性文件</w:t>
            </w:r>
          </w:p>
        </w:tc>
        <w:tc>
          <w:tcPr>
            <w:tcW w:w="2492" w:type="dxa"/>
            <w:shd w:val="clear" w:color="auto" w:fill="FFFFFF" w:themeFill="background1"/>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2268" w:type="dxa"/>
            <w:shd w:val="clear" w:color="auto" w:fill="FFFFFF" w:themeFill="background1"/>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1765" w:type="dxa"/>
            <w:shd w:val="clear" w:color="auto" w:fill="FFFFFF" w:themeFill="background1"/>
            <w:noWrap w:val="0"/>
            <w:vAlign w:val="center"/>
          </w:tcPr>
          <w:p>
            <w:pPr>
              <w:jc w:val="center"/>
              <w:rPr>
                <w:rFonts w:hint="default"/>
                <w:lang w:val="en-US" w:eastAsia="zh-CN"/>
              </w:rPr>
            </w:pPr>
            <w:r>
              <w:rPr>
                <w:rFonts w:hint="eastAsia"/>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33" w:type="dxa"/>
            <w:gridSpan w:val="4"/>
            <w:shd w:val="clear" w:color="auto" w:fill="FFFFFF" w:themeFill="background1"/>
            <w:noWrap w:val="0"/>
            <w:vAlign w:val="top"/>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rPr>
            </w:pPr>
            <w:r>
              <w:rPr>
                <w:rFonts w:hint="eastAsia" w:ascii="黑体" w:hAnsi="黑体" w:eastAsia="黑体" w:cs="黑体"/>
                <w:b w:val="0"/>
                <w:bCs w:val="0"/>
                <w:sz w:val="24"/>
                <w:szCs w:val="24"/>
              </w:rPr>
              <w:t>第二十条第（五）项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008" w:type="dxa"/>
            <w:shd w:val="clear" w:color="auto" w:fill="FFFFFF" w:themeFill="background1"/>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rPr>
            </w:pPr>
            <w:r>
              <w:rPr>
                <w:rFonts w:hint="eastAsia" w:ascii="黑体" w:hAnsi="黑体" w:eastAsia="黑体" w:cs="黑体"/>
                <w:b w:val="0"/>
                <w:bCs w:val="0"/>
                <w:sz w:val="24"/>
                <w:szCs w:val="24"/>
              </w:rPr>
              <w:t>信息内容</w:t>
            </w:r>
          </w:p>
        </w:tc>
        <w:tc>
          <w:tcPr>
            <w:tcW w:w="6525" w:type="dxa"/>
            <w:gridSpan w:val="3"/>
            <w:shd w:val="clear" w:color="auto" w:fill="FFFFFF" w:themeFill="background1"/>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rPr>
            </w:pPr>
            <w:r>
              <w:rPr>
                <w:rFonts w:hint="eastAsia" w:ascii="黑体" w:hAnsi="黑体" w:eastAsia="黑体" w:cs="黑体"/>
                <w:b w:val="0"/>
                <w:bCs w:val="0"/>
                <w:sz w:val="24"/>
                <w:szCs w:val="24"/>
                <w:lang w:eastAsia="zh-CN"/>
              </w:rPr>
              <w:t>本年</w:t>
            </w:r>
            <w:r>
              <w:rPr>
                <w:rFonts w:hint="eastAsia" w:ascii="黑体" w:hAnsi="黑体" w:eastAsia="黑体" w:cs="黑体"/>
                <w:b w:val="0"/>
                <w:bCs w:val="0"/>
                <w:sz w:val="24"/>
                <w:szCs w:val="24"/>
              </w:rPr>
              <w:t>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08" w:type="dxa"/>
            <w:shd w:val="clear" w:color="auto" w:fill="FFFFFF" w:themeFill="background1"/>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行政许可</w:t>
            </w:r>
          </w:p>
        </w:tc>
        <w:tc>
          <w:tcPr>
            <w:tcW w:w="6525" w:type="dxa"/>
            <w:gridSpan w:val="3"/>
            <w:shd w:val="clear" w:color="auto" w:fill="FFFFFF" w:themeFill="background1"/>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33" w:type="dxa"/>
            <w:gridSpan w:val="4"/>
            <w:shd w:val="clear" w:color="auto" w:fill="FFFFFF" w:themeFill="background1"/>
            <w:noWrap w:val="0"/>
            <w:vAlign w:val="top"/>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rPr>
            </w:pPr>
            <w:r>
              <w:rPr>
                <w:rFonts w:hint="eastAsia" w:ascii="黑体" w:hAnsi="黑体" w:eastAsia="黑体" w:cs="黑体"/>
                <w:b w:val="0"/>
                <w:bCs w:val="0"/>
                <w:sz w:val="24"/>
                <w:szCs w:val="24"/>
              </w:rPr>
              <w:t>第二十条第（六）项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008" w:type="dxa"/>
            <w:shd w:val="clear" w:color="auto" w:fill="FFFFFF" w:themeFill="background1"/>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rPr>
            </w:pPr>
            <w:r>
              <w:rPr>
                <w:rFonts w:hint="eastAsia" w:ascii="黑体" w:hAnsi="黑体" w:eastAsia="黑体" w:cs="黑体"/>
                <w:b w:val="0"/>
                <w:bCs w:val="0"/>
                <w:sz w:val="24"/>
                <w:szCs w:val="24"/>
              </w:rPr>
              <w:t>信息内容</w:t>
            </w:r>
          </w:p>
        </w:tc>
        <w:tc>
          <w:tcPr>
            <w:tcW w:w="6525" w:type="dxa"/>
            <w:gridSpan w:val="3"/>
            <w:shd w:val="clear" w:color="auto" w:fill="FFFFFF" w:themeFill="background1"/>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rPr>
            </w:pPr>
            <w:r>
              <w:rPr>
                <w:rFonts w:hint="eastAsia" w:ascii="黑体" w:hAnsi="黑体" w:eastAsia="黑体" w:cs="黑体"/>
                <w:b w:val="0"/>
                <w:bCs w:val="0"/>
                <w:sz w:val="24"/>
                <w:szCs w:val="24"/>
                <w:lang w:eastAsia="zh-CN"/>
              </w:rPr>
              <w:t>本年</w:t>
            </w:r>
            <w:r>
              <w:rPr>
                <w:rFonts w:hint="eastAsia" w:ascii="黑体" w:hAnsi="黑体" w:eastAsia="黑体" w:cs="黑体"/>
                <w:b w:val="0"/>
                <w:bCs w:val="0"/>
                <w:sz w:val="24"/>
                <w:szCs w:val="24"/>
              </w:rPr>
              <w:t>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008" w:type="dxa"/>
            <w:shd w:val="clear" w:color="auto" w:fill="FFFFFF" w:themeFill="background1"/>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行政处罚</w:t>
            </w:r>
          </w:p>
        </w:tc>
        <w:tc>
          <w:tcPr>
            <w:tcW w:w="6525" w:type="dxa"/>
            <w:gridSpan w:val="3"/>
            <w:shd w:val="clear" w:color="auto" w:fill="FFFFFF" w:themeFill="background1"/>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008" w:type="dxa"/>
            <w:shd w:val="clear" w:color="auto" w:fill="FFFFFF" w:themeFill="background1"/>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行政强制</w:t>
            </w:r>
          </w:p>
        </w:tc>
        <w:tc>
          <w:tcPr>
            <w:tcW w:w="6525" w:type="dxa"/>
            <w:gridSpan w:val="3"/>
            <w:shd w:val="clear" w:color="auto" w:fill="FFFFFF" w:themeFill="background1"/>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33" w:type="dxa"/>
            <w:gridSpan w:val="4"/>
            <w:shd w:val="clear" w:color="auto" w:fill="FFFFFF" w:themeFill="background1"/>
            <w:noWrap w:val="0"/>
            <w:vAlign w:val="top"/>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rPr>
            </w:pPr>
            <w:r>
              <w:rPr>
                <w:rFonts w:hint="eastAsia" w:ascii="黑体" w:hAnsi="黑体" w:eastAsia="黑体" w:cs="黑体"/>
                <w:b w:val="0"/>
                <w:bCs w:val="0"/>
                <w:sz w:val="24"/>
                <w:szCs w:val="24"/>
              </w:rPr>
              <w:t>第二十条第（八）项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008" w:type="dxa"/>
            <w:shd w:val="clear" w:color="auto" w:fill="FFFFFF" w:themeFill="background1"/>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rPr>
            </w:pPr>
            <w:r>
              <w:rPr>
                <w:rFonts w:hint="eastAsia" w:ascii="黑体" w:hAnsi="黑体" w:eastAsia="黑体" w:cs="黑体"/>
                <w:b w:val="0"/>
                <w:bCs w:val="0"/>
                <w:sz w:val="24"/>
                <w:szCs w:val="24"/>
              </w:rPr>
              <w:t>信息内容</w:t>
            </w:r>
          </w:p>
        </w:tc>
        <w:tc>
          <w:tcPr>
            <w:tcW w:w="6525" w:type="dxa"/>
            <w:gridSpan w:val="3"/>
            <w:shd w:val="clear" w:color="auto" w:fill="FFFFFF" w:themeFill="background1"/>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lang w:eastAsia="zh-CN"/>
              </w:rPr>
            </w:pPr>
            <w:r>
              <w:rPr>
                <w:rFonts w:hint="eastAsia" w:ascii="黑体" w:hAnsi="黑体" w:eastAsia="黑体" w:cs="黑体"/>
                <w:b w:val="0"/>
                <w:bCs w:val="0"/>
                <w:sz w:val="24"/>
                <w:szCs w:val="24"/>
              </w:rPr>
              <w:t>本年</w:t>
            </w:r>
            <w:r>
              <w:rPr>
                <w:rFonts w:hint="eastAsia" w:ascii="黑体" w:hAnsi="黑体" w:eastAsia="黑体" w:cs="黑体"/>
                <w:b w:val="0"/>
                <w:bCs w:val="0"/>
                <w:sz w:val="24"/>
                <w:szCs w:val="24"/>
                <w:lang w:eastAsia="zh-CN"/>
              </w:rPr>
              <w:t>收费金额（单位：万元）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trPr>
        <w:tc>
          <w:tcPr>
            <w:tcW w:w="2008" w:type="dxa"/>
            <w:shd w:val="clear" w:color="auto" w:fill="FFFFFF" w:themeFill="background1"/>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行政事业性收费</w:t>
            </w:r>
          </w:p>
        </w:tc>
        <w:tc>
          <w:tcPr>
            <w:tcW w:w="6525" w:type="dxa"/>
            <w:gridSpan w:val="3"/>
            <w:shd w:val="clear" w:color="auto" w:fill="FFFFFF" w:themeFill="background1"/>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bl>
    <w:p>
      <w:pPr>
        <w:pStyle w:val="3"/>
        <w:keepNext w:val="0"/>
        <w:keepLines w:val="0"/>
        <w:widowControl/>
        <w:suppressLineNumbers w:val="0"/>
        <w:spacing w:before="0" w:beforeAutospacing="0" w:after="0" w:afterAutospacing="0" w:line="420" w:lineRule="atLeast"/>
        <w:ind w:left="0" w:right="0" w:firstLine="420"/>
        <w:rPr>
          <w:rFonts w:hint="eastAsia" w:ascii="黑体" w:hAnsi="黑体" w:eastAsia="黑体" w:cs="黑体"/>
          <w:b w:val="0"/>
          <w:bCs w:val="0"/>
          <w:sz w:val="32"/>
          <w:szCs w:val="32"/>
        </w:rPr>
      </w:pPr>
    </w:p>
    <w:p>
      <w:pPr>
        <w:pStyle w:val="3"/>
        <w:keepNext w:val="0"/>
        <w:keepLines w:val="0"/>
        <w:widowControl/>
        <w:suppressLineNumbers w:val="0"/>
        <w:spacing w:before="0" w:beforeAutospacing="0" w:after="0" w:afterAutospacing="0" w:line="420" w:lineRule="atLeast"/>
        <w:ind w:left="0" w:right="0" w:firstLine="420"/>
        <w:rPr>
          <w:b/>
          <w:bCs/>
        </w:rPr>
      </w:pPr>
      <w:r>
        <w:rPr>
          <w:rFonts w:hint="eastAsia" w:ascii="黑体" w:hAnsi="黑体" w:eastAsia="黑体" w:cs="黑体"/>
          <w:b w:val="0"/>
          <w:bCs w:val="0"/>
          <w:sz w:val="32"/>
          <w:szCs w:val="32"/>
        </w:rPr>
        <w:t>三、收到和处理政府信息公开申请情况</w:t>
      </w:r>
    </w:p>
    <w:tbl>
      <w:tblPr>
        <w:tblStyle w:val="5"/>
        <w:tblpPr w:leftFromText="180" w:rightFromText="180" w:vertAnchor="text" w:horzAnchor="page" w:tblpX="1805" w:tblpY="622"/>
        <w:tblOverlap w:val="never"/>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977"/>
        <w:gridCol w:w="1097"/>
        <w:gridCol w:w="1713"/>
        <w:gridCol w:w="757"/>
        <w:gridCol w:w="655"/>
        <w:gridCol w:w="655"/>
        <w:gridCol w:w="877"/>
        <w:gridCol w:w="737"/>
        <w:gridCol w:w="546"/>
        <w:gridCol w:w="50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3787" w:type="dxa"/>
            <w:gridSpan w:val="3"/>
            <w:vMerge w:val="restart"/>
            <w:tcBorders>
              <w:top w:val="single" w:color="auto" w:sz="8" w:space="0"/>
              <w:left w:val="single" w:color="auto" w:sz="8" w:space="0"/>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（本列数据的勾稽关系为：第一项加第二项之和，等于第三项加第四项之和）</w:t>
            </w:r>
          </w:p>
        </w:tc>
        <w:tc>
          <w:tcPr>
            <w:tcW w:w="4735" w:type="dxa"/>
            <w:gridSpan w:val="7"/>
            <w:tcBorders>
              <w:top w:val="single" w:color="auto" w:sz="8" w:space="0"/>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申请人情况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3787" w:type="dxa"/>
            <w:gridSpan w:val="3"/>
            <w:vMerge w:val="continue"/>
            <w:tcBorders>
              <w:top w:val="single" w:color="auto" w:sz="8" w:space="0"/>
              <w:left w:val="single" w:color="auto" w:sz="8" w:space="0"/>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rPr>
                <w:rFonts w:hint="eastAsia" w:ascii="宋体"/>
                <w:sz w:val="21"/>
                <w:szCs w:val="21"/>
              </w:rPr>
            </w:pPr>
          </w:p>
        </w:tc>
        <w:tc>
          <w:tcPr>
            <w:tcW w:w="757" w:type="dxa"/>
            <w:vMerge w:val="restart"/>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自然人</w:t>
            </w:r>
          </w:p>
        </w:tc>
        <w:tc>
          <w:tcPr>
            <w:tcW w:w="3470" w:type="dxa"/>
            <w:gridSpan w:val="5"/>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法人或其他组织</w:t>
            </w:r>
          </w:p>
        </w:tc>
        <w:tc>
          <w:tcPr>
            <w:tcW w:w="508" w:type="dxa"/>
            <w:vMerge w:val="restart"/>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总计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68" w:hRule="atLeast"/>
        </w:trPr>
        <w:tc>
          <w:tcPr>
            <w:tcW w:w="3787" w:type="dxa"/>
            <w:gridSpan w:val="3"/>
            <w:vMerge w:val="continue"/>
            <w:tcBorders>
              <w:top w:val="single" w:color="auto" w:sz="8" w:space="0"/>
              <w:left w:val="single" w:color="auto" w:sz="8" w:space="0"/>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rPr>
                <w:rFonts w:hint="eastAsia" w:ascii="宋体"/>
                <w:sz w:val="21"/>
                <w:szCs w:val="21"/>
              </w:rPr>
            </w:pPr>
          </w:p>
        </w:tc>
        <w:tc>
          <w:tcPr>
            <w:tcW w:w="757" w:type="dxa"/>
            <w:vMerge w:val="continue"/>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rPr>
                <w:rFonts w:hint="eastAsia" w:ascii="宋体"/>
                <w:sz w:val="21"/>
                <w:szCs w:val="21"/>
              </w:rPr>
            </w:pPr>
          </w:p>
        </w:tc>
        <w:tc>
          <w:tcPr>
            <w:tcW w:w="655"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商业企业</w:t>
            </w:r>
          </w:p>
        </w:tc>
        <w:tc>
          <w:tcPr>
            <w:tcW w:w="655"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科研机构</w:t>
            </w:r>
          </w:p>
        </w:tc>
        <w:tc>
          <w:tcPr>
            <w:tcW w:w="877"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社会公益组织</w:t>
            </w:r>
          </w:p>
        </w:tc>
        <w:tc>
          <w:tcPr>
            <w:tcW w:w="737"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法律服务机构</w:t>
            </w:r>
          </w:p>
        </w:tc>
        <w:tc>
          <w:tcPr>
            <w:tcW w:w="546"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其他</w:t>
            </w:r>
          </w:p>
        </w:tc>
        <w:tc>
          <w:tcPr>
            <w:tcW w:w="508" w:type="dxa"/>
            <w:vMerge w:val="continue"/>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95" w:hRule="atLeast"/>
        </w:trPr>
        <w:tc>
          <w:tcPr>
            <w:tcW w:w="3787" w:type="dxa"/>
            <w:gridSpan w:val="3"/>
            <w:tcBorders>
              <w:top w:val="nil"/>
              <w:left w:val="single" w:color="auto" w:sz="8" w:space="0"/>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一、本年新收到政府信息公开申请数量</w:t>
            </w:r>
          </w:p>
        </w:tc>
        <w:tc>
          <w:tcPr>
            <w:tcW w:w="757"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655"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655"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877"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737"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546"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508"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07" w:hRule="atLeast"/>
        </w:trPr>
        <w:tc>
          <w:tcPr>
            <w:tcW w:w="3787" w:type="dxa"/>
            <w:gridSpan w:val="3"/>
            <w:tcBorders>
              <w:top w:val="nil"/>
              <w:left w:val="single" w:color="auto" w:sz="8" w:space="0"/>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二、上年转结政府信息公开申请数量</w:t>
            </w:r>
          </w:p>
        </w:tc>
        <w:tc>
          <w:tcPr>
            <w:tcW w:w="757"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655"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655"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877"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737"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546"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508"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977" w:type="dxa"/>
            <w:vMerge w:val="restart"/>
            <w:tcBorders>
              <w:top w:val="nil"/>
              <w:left w:val="single" w:color="auto" w:sz="8" w:space="0"/>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三、本年度办理结果</w:t>
            </w:r>
          </w:p>
        </w:tc>
        <w:tc>
          <w:tcPr>
            <w:tcW w:w="2810" w:type="dxa"/>
            <w:gridSpan w:val="2"/>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（一）予以公开</w:t>
            </w:r>
          </w:p>
        </w:tc>
        <w:tc>
          <w:tcPr>
            <w:tcW w:w="757"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655"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655"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877"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737"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546"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508"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10" w:hRule="atLeast"/>
        </w:trPr>
        <w:tc>
          <w:tcPr>
            <w:tcW w:w="977" w:type="dxa"/>
            <w:vMerge w:val="continue"/>
            <w:tcBorders>
              <w:top w:val="nil"/>
              <w:left w:val="single" w:color="auto" w:sz="8" w:space="0"/>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rPr>
                <w:rFonts w:hint="eastAsia" w:ascii="宋体"/>
                <w:sz w:val="21"/>
                <w:szCs w:val="21"/>
              </w:rPr>
            </w:pPr>
          </w:p>
        </w:tc>
        <w:tc>
          <w:tcPr>
            <w:tcW w:w="2810" w:type="dxa"/>
            <w:gridSpan w:val="2"/>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（二）部分公开（区分处理的，只计这一情形，不计其他情形）</w:t>
            </w:r>
          </w:p>
        </w:tc>
        <w:tc>
          <w:tcPr>
            <w:tcW w:w="757"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655"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655"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877"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737"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546"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508"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977" w:type="dxa"/>
            <w:vMerge w:val="continue"/>
            <w:tcBorders>
              <w:top w:val="nil"/>
              <w:left w:val="single" w:color="auto" w:sz="8" w:space="0"/>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rPr>
                <w:rFonts w:hint="eastAsia" w:ascii="宋体"/>
                <w:sz w:val="21"/>
                <w:szCs w:val="21"/>
              </w:rPr>
            </w:pPr>
          </w:p>
        </w:tc>
        <w:tc>
          <w:tcPr>
            <w:tcW w:w="1097" w:type="dxa"/>
            <w:vMerge w:val="restart"/>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（三）不予公开</w:t>
            </w:r>
          </w:p>
        </w:tc>
        <w:tc>
          <w:tcPr>
            <w:tcW w:w="1713"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1.属于国家秘密</w:t>
            </w:r>
          </w:p>
        </w:tc>
        <w:tc>
          <w:tcPr>
            <w:tcW w:w="757"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655"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655"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877"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737"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546"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508"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977" w:type="dxa"/>
            <w:vMerge w:val="continue"/>
            <w:tcBorders>
              <w:top w:val="nil"/>
              <w:left w:val="single" w:color="auto" w:sz="8" w:space="0"/>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rPr>
                <w:rFonts w:hint="eastAsia" w:ascii="宋体"/>
                <w:sz w:val="21"/>
                <w:szCs w:val="21"/>
              </w:rPr>
            </w:pPr>
          </w:p>
        </w:tc>
        <w:tc>
          <w:tcPr>
            <w:tcW w:w="1097" w:type="dxa"/>
            <w:vMerge w:val="continue"/>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rPr>
                <w:rFonts w:hint="eastAsia" w:ascii="宋体"/>
                <w:sz w:val="21"/>
                <w:szCs w:val="21"/>
              </w:rPr>
            </w:pPr>
          </w:p>
        </w:tc>
        <w:tc>
          <w:tcPr>
            <w:tcW w:w="1713"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2.其他法律行政法规禁止公开</w:t>
            </w:r>
          </w:p>
        </w:tc>
        <w:tc>
          <w:tcPr>
            <w:tcW w:w="757"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655"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655"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877"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737"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546"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508"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54" w:hRule="atLeast"/>
        </w:trPr>
        <w:tc>
          <w:tcPr>
            <w:tcW w:w="977" w:type="dxa"/>
            <w:vMerge w:val="continue"/>
            <w:tcBorders>
              <w:top w:val="nil"/>
              <w:left w:val="single" w:color="auto" w:sz="8" w:space="0"/>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rPr>
                <w:rFonts w:hint="eastAsia" w:ascii="宋体"/>
                <w:sz w:val="21"/>
                <w:szCs w:val="21"/>
              </w:rPr>
            </w:pPr>
          </w:p>
        </w:tc>
        <w:tc>
          <w:tcPr>
            <w:tcW w:w="1097" w:type="dxa"/>
            <w:vMerge w:val="continue"/>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rPr>
                <w:rFonts w:hint="eastAsia" w:ascii="宋体"/>
                <w:sz w:val="21"/>
                <w:szCs w:val="21"/>
              </w:rPr>
            </w:pPr>
          </w:p>
        </w:tc>
        <w:tc>
          <w:tcPr>
            <w:tcW w:w="1713"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3.危及“三安全一稳定”</w:t>
            </w:r>
          </w:p>
        </w:tc>
        <w:tc>
          <w:tcPr>
            <w:tcW w:w="757"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655"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655"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877"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737"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546"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508"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45" w:hRule="atLeast"/>
        </w:trPr>
        <w:tc>
          <w:tcPr>
            <w:tcW w:w="977" w:type="dxa"/>
            <w:vMerge w:val="continue"/>
            <w:tcBorders>
              <w:top w:val="nil"/>
              <w:left w:val="single" w:color="auto" w:sz="8" w:space="0"/>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rPr>
                <w:rFonts w:hint="eastAsia" w:ascii="宋体"/>
                <w:sz w:val="21"/>
                <w:szCs w:val="21"/>
              </w:rPr>
            </w:pPr>
          </w:p>
        </w:tc>
        <w:tc>
          <w:tcPr>
            <w:tcW w:w="1097" w:type="dxa"/>
            <w:vMerge w:val="continue"/>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rPr>
                <w:rFonts w:hint="eastAsia" w:ascii="宋体"/>
                <w:sz w:val="21"/>
                <w:szCs w:val="21"/>
              </w:rPr>
            </w:pPr>
          </w:p>
        </w:tc>
        <w:tc>
          <w:tcPr>
            <w:tcW w:w="1713"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4.保护第三方合法权益</w:t>
            </w:r>
          </w:p>
        </w:tc>
        <w:tc>
          <w:tcPr>
            <w:tcW w:w="757"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655"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655"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877"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737"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546"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508"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977" w:type="dxa"/>
            <w:vMerge w:val="continue"/>
            <w:tcBorders>
              <w:top w:val="nil"/>
              <w:left w:val="single" w:color="auto" w:sz="8" w:space="0"/>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rPr>
                <w:rFonts w:hint="eastAsia" w:ascii="宋体"/>
                <w:sz w:val="21"/>
                <w:szCs w:val="21"/>
              </w:rPr>
            </w:pPr>
          </w:p>
        </w:tc>
        <w:tc>
          <w:tcPr>
            <w:tcW w:w="1097" w:type="dxa"/>
            <w:vMerge w:val="continue"/>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rPr>
                <w:rFonts w:hint="eastAsia" w:ascii="宋体"/>
                <w:sz w:val="21"/>
                <w:szCs w:val="21"/>
              </w:rPr>
            </w:pPr>
          </w:p>
        </w:tc>
        <w:tc>
          <w:tcPr>
            <w:tcW w:w="1713"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5.属于三类内部事务信息</w:t>
            </w:r>
          </w:p>
        </w:tc>
        <w:tc>
          <w:tcPr>
            <w:tcW w:w="757"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655"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655"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877"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737"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546"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508"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61" w:hRule="atLeast"/>
        </w:trPr>
        <w:tc>
          <w:tcPr>
            <w:tcW w:w="977" w:type="dxa"/>
            <w:vMerge w:val="continue"/>
            <w:tcBorders>
              <w:top w:val="nil"/>
              <w:left w:val="single" w:color="auto" w:sz="8" w:space="0"/>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rPr>
                <w:rFonts w:hint="eastAsia" w:ascii="宋体"/>
                <w:sz w:val="21"/>
                <w:szCs w:val="21"/>
              </w:rPr>
            </w:pPr>
          </w:p>
        </w:tc>
        <w:tc>
          <w:tcPr>
            <w:tcW w:w="1097" w:type="dxa"/>
            <w:vMerge w:val="continue"/>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rPr>
                <w:rFonts w:hint="eastAsia" w:ascii="宋体"/>
                <w:sz w:val="21"/>
                <w:szCs w:val="21"/>
              </w:rPr>
            </w:pPr>
          </w:p>
        </w:tc>
        <w:tc>
          <w:tcPr>
            <w:tcW w:w="1713"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6.属于四类过程性信息</w:t>
            </w:r>
          </w:p>
        </w:tc>
        <w:tc>
          <w:tcPr>
            <w:tcW w:w="757"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655"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655"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877"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737"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546"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508"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977" w:type="dxa"/>
            <w:vMerge w:val="continue"/>
            <w:tcBorders>
              <w:top w:val="nil"/>
              <w:left w:val="single" w:color="auto" w:sz="8" w:space="0"/>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rPr>
                <w:rFonts w:hint="eastAsia" w:ascii="宋体"/>
                <w:sz w:val="21"/>
                <w:szCs w:val="21"/>
              </w:rPr>
            </w:pPr>
          </w:p>
        </w:tc>
        <w:tc>
          <w:tcPr>
            <w:tcW w:w="1097" w:type="dxa"/>
            <w:vMerge w:val="continue"/>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rPr>
                <w:rFonts w:hint="eastAsia" w:ascii="宋体"/>
                <w:sz w:val="21"/>
                <w:szCs w:val="21"/>
              </w:rPr>
            </w:pPr>
          </w:p>
        </w:tc>
        <w:tc>
          <w:tcPr>
            <w:tcW w:w="1713"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7.属于行政执法案卷</w:t>
            </w:r>
          </w:p>
        </w:tc>
        <w:tc>
          <w:tcPr>
            <w:tcW w:w="757"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655"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655"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877"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737"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546"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508"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02" w:hRule="atLeast"/>
        </w:trPr>
        <w:tc>
          <w:tcPr>
            <w:tcW w:w="977" w:type="dxa"/>
            <w:vMerge w:val="continue"/>
            <w:tcBorders>
              <w:top w:val="nil"/>
              <w:left w:val="single" w:color="auto" w:sz="8" w:space="0"/>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rPr>
                <w:rFonts w:hint="eastAsia" w:ascii="宋体"/>
                <w:sz w:val="21"/>
                <w:szCs w:val="21"/>
              </w:rPr>
            </w:pPr>
          </w:p>
        </w:tc>
        <w:tc>
          <w:tcPr>
            <w:tcW w:w="1097" w:type="dxa"/>
            <w:vMerge w:val="continue"/>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rPr>
                <w:rFonts w:hint="eastAsia" w:ascii="宋体"/>
                <w:sz w:val="21"/>
                <w:szCs w:val="21"/>
              </w:rPr>
            </w:pPr>
          </w:p>
        </w:tc>
        <w:tc>
          <w:tcPr>
            <w:tcW w:w="1713"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8.属于行政查询事项</w:t>
            </w:r>
          </w:p>
        </w:tc>
        <w:tc>
          <w:tcPr>
            <w:tcW w:w="757"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655"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655"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877"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737"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546"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508"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977" w:type="dxa"/>
            <w:vMerge w:val="continue"/>
            <w:tcBorders>
              <w:top w:val="nil"/>
              <w:left w:val="single" w:color="auto" w:sz="8" w:space="0"/>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rPr>
                <w:rFonts w:hint="eastAsia" w:ascii="宋体"/>
                <w:sz w:val="24"/>
                <w:szCs w:val="24"/>
              </w:rPr>
            </w:pPr>
          </w:p>
        </w:tc>
        <w:tc>
          <w:tcPr>
            <w:tcW w:w="1097" w:type="dxa"/>
            <w:vMerge w:val="restart"/>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（四）无法提供</w:t>
            </w:r>
          </w:p>
        </w:tc>
        <w:tc>
          <w:tcPr>
            <w:tcW w:w="1713"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1.本机关不掌握相关政府信息</w:t>
            </w:r>
          </w:p>
        </w:tc>
        <w:tc>
          <w:tcPr>
            <w:tcW w:w="757"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655"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655"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877"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737"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546"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508"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977" w:type="dxa"/>
            <w:vMerge w:val="continue"/>
            <w:tcBorders>
              <w:top w:val="nil"/>
              <w:left w:val="single" w:color="auto" w:sz="8" w:space="0"/>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rPr>
                <w:rFonts w:hint="eastAsia" w:ascii="宋体"/>
                <w:sz w:val="24"/>
                <w:szCs w:val="24"/>
              </w:rPr>
            </w:pPr>
          </w:p>
        </w:tc>
        <w:tc>
          <w:tcPr>
            <w:tcW w:w="1097" w:type="dxa"/>
            <w:vMerge w:val="continue"/>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rPr>
                <w:rFonts w:hint="eastAsia" w:ascii="宋体"/>
                <w:sz w:val="21"/>
                <w:szCs w:val="21"/>
              </w:rPr>
            </w:pPr>
          </w:p>
        </w:tc>
        <w:tc>
          <w:tcPr>
            <w:tcW w:w="1713"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2.没有现成信息需要另行制作</w:t>
            </w:r>
          </w:p>
        </w:tc>
        <w:tc>
          <w:tcPr>
            <w:tcW w:w="757"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655"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655"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877"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737"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546"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508"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977" w:type="dxa"/>
            <w:vMerge w:val="continue"/>
            <w:tcBorders>
              <w:top w:val="nil"/>
              <w:left w:val="single" w:color="auto" w:sz="8" w:space="0"/>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rPr>
                <w:rFonts w:hint="eastAsia" w:ascii="宋体"/>
                <w:sz w:val="24"/>
                <w:szCs w:val="24"/>
              </w:rPr>
            </w:pPr>
          </w:p>
        </w:tc>
        <w:tc>
          <w:tcPr>
            <w:tcW w:w="1097" w:type="dxa"/>
            <w:vMerge w:val="continue"/>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rPr>
                <w:rFonts w:hint="eastAsia" w:ascii="宋体"/>
                <w:sz w:val="21"/>
                <w:szCs w:val="21"/>
              </w:rPr>
            </w:pPr>
          </w:p>
        </w:tc>
        <w:tc>
          <w:tcPr>
            <w:tcW w:w="1713"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3.补正后申请内容仍不明确</w:t>
            </w:r>
          </w:p>
        </w:tc>
        <w:tc>
          <w:tcPr>
            <w:tcW w:w="757"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655"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655"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877"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737"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546"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508"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40" w:hRule="atLeast"/>
        </w:trPr>
        <w:tc>
          <w:tcPr>
            <w:tcW w:w="977" w:type="dxa"/>
            <w:vMerge w:val="continue"/>
            <w:tcBorders>
              <w:top w:val="nil"/>
              <w:left w:val="single" w:color="auto" w:sz="8" w:space="0"/>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rPr>
                <w:rFonts w:hint="eastAsia" w:ascii="宋体"/>
                <w:sz w:val="24"/>
                <w:szCs w:val="24"/>
              </w:rPr>
            </w:pPr>
          </w:p>
        </w:tc>
        <w:tc>
          <w:tcPr>
            <w:tcW w:w="1097" w:type="dxa"/>
            <w:vMerge w:val="restart"/>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（五）不予处理</w:t>
            </w:r>
          </w:p>
        </w:tc>
        <w:tc>
          <w:tcPr>
            <w:tcW w:w="1713"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1.信访举报投诉类申请</w:t>
            </w:r>
          </w:p>
        </w:tc>
        <w:tc>
          <w:tcPr>
            <w:tcW w:w="757"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655"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655"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877"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737"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546"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508"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19" w:hRule="atLeast"/>
        </w:trPr>
        <w:tc>
          <w:tcPr>
            <w:tcW w:w="977" w:type="dxa"/>
            <w:vMerge w:val="continue"/>
            <w:tcBorders>
              <w:top w:val="nil"/>
              <w:left w:val="single" w:color="auto" w:sz="8" w:space="0"/>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rPr>
                <w:rFonts w:hint="eastAsia" w:ascii="宋体"/>
                <w:sz w:val="24"/>
                <w:szCs w:val="24"/>
              </w:rPr>
            </w:pPr>
          </w:p>
        </w:tc>
        <w:tc>
          <w:tcPr>
            <w:tcW w:w="1097" w:type="dxa"/>
            <w:vMerge w:val="continue"/>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rPr>
                <w:rFonts w:hint="eastAsia" w:ascii="宋体"/>
                <w:sz w:val="21"/>
                <w:szCs w:val="21"/>
              </w:rPr>
            </w:pPr>
          </w:p>
        </w:tc>
        <w:tc>
          <w:tcPr>
            <w:tcW w:w="1713"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2.重复申请</w:t>
            </w:r>
          </w:p>
        </w:tc>
        <w:tc>
          <w:tcPr>
            <w:tcW w:w="757"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655"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655"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877"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737"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546"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508"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11" w:hRule="atLeast"/>
        </w:trPr>
        <w:tc>
          <w:tcPr>
            <w:tcW w:w="977" w:type="dxa"/>
            <w:vMerge w:val="continue"/>
            <w:tcBorders>
              <w:top w:val="nil"/>
              <w:left w:val="single" w:color="auto" w:sz="8" w:space="0"/>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rPr>
                <w:rFonts w:hint="eastAsia" w:ascii="宋体"/>
                <w:sz w:val="24"/>
                <w:szCs w:val="24"/>
              </w:rPr>
            </w:pPr>
          </w:p>
        </w:tc>
        <w:tc>
          <w:tcPr>
            <w:tcW w:w="1097" w:type="dxa"/>
            <w:vMerge w:val="continue"/>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rPr>
                <w:rFonts w:hint="eastAsia" w:ascii="宋体"/>
                <w:sz w:val="21"/>
                <w:szCs w:val="21"/>
              </w:rPr>
            </w:pPr>
          </w:p>
        </w:tc>
        <w:tc>
          <w:tcPr>
            <w:tcW w:w="1713"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3.要求提供公开出版物</w:t>
            </w:r>
          </w:p>
        </w:tc>
        <w:tc>
          <w:tcPr>
            <w:tcW w:w="757"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655"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655"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877"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737"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546"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508"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977" w:type="dxa"/>
            <w:vMerge w:val="continue"/>
            <w:tcBorders>
              <w:top w:val="nil"/>
              <w:left w:val="single" w:color="auto" w:sz="8" w:space="0"/>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rPr>
                <w:rFonts w:hint="eastAsia" w:ascii="宋体"/>
                <w:sz w:val="24"/>
                <w:szCs w:val="24"/>
              </w:rPr>
            </w:pPr>
          </w:p>
        </w:tc>
        <w:tc>
          <w:tcPr>
            <w:tcW w:w="1097" w:type="dxa"/>
            <w:vMerge w:val="continue"/>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rPr>
                <w:rFonts w:hint="eastAsia" w:ascii="宋体"/>
                <w:sz w:val="21"/>
                <w:szCs w:val="21"/>
              </w:rPr>
            </w:pPr>
          </w:p>
        </w:tc>
        <w:tc>
          <w:tcPr>
            <w:tcW w:w="1713"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4.无正当理由大量反复申请</w:t>
            </w:r>
          </w:p>
        </w:tc>
        <w:tc>
          <w:tcPr>
            <w:tcW w:w="757"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655"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655"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877"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737"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546"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508"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977" w:type="dxa"/>
            <w:vMerge w:val="continue"/>
            <w:tcBorders>
              <w:top w:val="nil"/>
              <w:left w:val="single" w:color="auto" w:sz="8" w:space="0"/>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rPr>
                <w:rFonts w:hint="eastAsia" w:ascii="宋体"/>
                <w:sz w:val="24"/>
                <w:szCs w:val="24"/>
              </w:rPr>
            </w:pPr>
          </w:p>
        </w:tc>
        <w:tc>
          <w:tcPr>
            <w:tcW w:w="1097" w:type="dxa"/>
            <w:vMerge w:val="continue"/>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rPr>
                <w:rFonts w:hint="eastAsia" w:ascii="宋体"/>
                <w:sz w:val="21"/>
                <w:szCs w:val="21"/>
              </w:rPr>
            </w:pPr>
          </w:p>
        </w:tc>
        <w:tc>
          <w:tcPr>
            <w:tcW w:w="1713"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5.要求行政机关确认或重新出具已获取信息</w:t>
            </w:r>
          </w:p>
        </w:tc>
        <w:tc>
          <w:tcPr>
            <w:tcW w:w="757"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655"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655"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877"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737"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546"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508"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35" w:hRule="atLeast"/>
        </w:trPr>
        <w:tc>
          <w:tcPr>
            <w:tcW w:w="977" w:type="dxa"/>
            <w:vMerge w:val="continue"/>
            <w:tcBorders>
              <w:top w:val="nil"/>
              <w:left w:val="single" w:color="auto" w:sz="8" w:space="0"/>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rPr>
                <w:rFonts w:hint="eastAsia" w:ascii="宋体"/>
                <w:sz w:val="24"/>
                <w:szCs w:val="24"/>
              </w:rPr>
            </w:pPr>
          </w:p>
        </w:tc>
        <w:tc>
          <w:tcPr>
            <w:tcW w:w="2810" w:type="dxa"/>
            <w:gridSpan w:val="2"/>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（六）其他处理</w:t>
            </w:r>
          </w:p>
        </w:tc>
        <w:tc>
          <w:tcPr>
            <w:tcW w:w="757"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655"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655"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877"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737"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546"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508"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9" w:hRule="atLeast"/>
        </w:trPr>
        <w:tc>
          <w:tcPr>
            <w:tcW w:w="977" w:type="dxa"/>
            <w:vMerge w:val="continue"/>
            <w:tcBorders>
              <w:top w:val="nil"/>
              <w:left w:val="single" w:color="auto" w:sz="8" w:space="0"/>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rPr>
                <w:rFonts w:hint="eastAsia" w:ascii="宋体"/>
                <w:sz w:val="24"/>
                <w:szCs w:val="24"/>
              </w:rPr>
            </w:pPr>
          </w:p>
        </w:tc>
        <w:tc>
          <w:tcPr>
            <w:tcW w:w="2810" w:type="dxa"/>
            <w:gridSpan w:val="2"/>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（七）总计</w:t>
            </w:r>
          </w:p>
        </w:tc>
        <w:tc>
          <w:tcPr>
            <w:tcW w:w="757"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655"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655"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877"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737"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546"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508"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32" w:hRule="atLeast"/>
        </w:trPr>
        <w:tc>
          <w:tcPr>
            <w:tcW w:w="3787" w:type="dxa"/>
            <w:gridSpan w:val="3"/>
            <w:tcBorders>
              <w:top w:val="nil"/>
              <w:left w:val="single" w:color="auto" w:sz="8" w:space="0"/>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四、转结下年度继续办理</w:t>
            </w:r>
          </w:p>
        </w:tc>
        <w:tc>
          <w:tcPr>
            <w:tcW w:w="757"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655"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655"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877"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737"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546"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508"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r>
    </w:tbl>
    <w:p>
      <w:pPr>
        <w:pStyle w:val="3"/>
        <w:keepNext w:val="0"/>
        <w:keepLines w:val="0"/>
        <w:widowControl/>
        <w:suppressLineNumbers w:val="0"/>
        <w:spacing w:before="0" w:beforeAutospacing="0" w:after="0" w:afterAutospacing="0" w:line="420" w:lineRule="atLeast"/>
        <w:ind w:right="0"/>
        <w:rPr>
          <w:b/>
          <w:bCs/>
        </w:rPr>
      </w:pPr>
    </w:p>
    <w:p>
      <w:pPr>
        <w:pStyle w:val="3"/>
        <w:keepNext w:val="0"/>
        <w:keepLines w:val="0"/>
        <w:widowControl/>
        <w:suppressLineNumbers w:val="0"/>
        <w:spacing w:before="0" w:beforeAutospacing="0" w:after="0" w:afterAutospacing="0" w:line="420" w:lineRule="atLeast"/>
        <w:ind w:left="0" w:right="0" w:firstLine="420"/>
        <w:rPr>
          <w:b/>
          <w:bCs/>
        </w:rPr>
      </w:pPr>
      <w:r>
        <w:rPr>
          <w:rFonts w:hint="eastAsia" w:ascii="黑体" w:hAnsi="黑体" w:eastAsia="黑体" w:cs="黑体"/>
          <w:b w:val="0"/>
          <w:bCs w:val="0"/>
          <w:sz w:val="32"/>
          <w:szCs w:val="32"/>
        </w:rPr>
        <w:t>四、政府信息公开行政复议、行政诉讼情况</w:t>
      </w:r>
    </w:p>
    <w:tbl>
      <w:tblPr>
        <w:tblStyle w:val="5"/>
        <w:tblW w:w="829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Layout w:type="fixed"/>
        <w:tblCellMar>
          <w:top w:w="15" w:type="dxa"/>
          <w:left w:w="15" w:type="dxa"/>
          <w:bottom w:w="15" w:type="dxa"/>
          <w:right w:w="15" w:type="dxa"/>
        </w:tblCellMar>
      </w:tblPr>
      <w:tblGrid>
        <w:gridCol w:w="553"/>
        <w:gridCol w:w="553"/>
        <w:gridCol w:w="553"/>
        <w:gridCol w:w="553"/>
        <w:gridCol w:w="553"/>
        <w:gridCol w:w="553"/>
        <w:gridCol w:w="553"/>
        <w:gridCol w:w="553"/>
        <w:gridCol w:w="553"/>
        <w:gridCol w:w="553"/>
        <w:gridCol w:w="553"/>
        <w:gridCol w:w="553"/>
        <w:gridCol w:w="553"/>
        <w:gridCol w:w="553"/>
        <w:gridCol w:w="55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15" w:type="dxa"/>
            <w:left w:w="15" w:type="dxa"/>
            <w:bottom w:w="15" w:type="dxa"/>
            <w:right w:w="15" w:type="dxa"/>
          </w:tblCellMar>
        </w:tblPrEx>
        <w:trPr>
          <w:jc w:val="center"/>
        </w:trPr>
        <w:tc>
          <w:tcPr>
            <w:tcW w:w="2765" w:type="dxa"/>
            <w:gridSpan w:val="5"/>
            <w:vMerge w:val="restart"/>
            <w:tcBorders>
              <w:top w:val="single" w:color="auto" w:sz="8" w:space="0"/>
              <w:left w:val="single" w:color="auto" w:sz="8" w:space="0"/>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行政复议</w:t>
            </w:r>
          </w:p>
        </w:tc>
        <w:tc>
          <w:tcPr>
            <w:tcW w:w="5531" w:type="dxa"/>
            <w:gridSpan w:val="10"/>
            <w:tcBorders>
              <w:top w:val="single" w:color="auto" w:sz="8" w:space="0"/>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行政诉讼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2765" w:type="dxa"/>
            <w:gridSpan w:val="5"/>
            <w:vMerge w:val="continue"/>
            <w:tcBorders>
              <w:top w:val="single" w:color="auto" w:sz="8" w:space="0"/>
              <w:left w:val="single" w:color="auto" w:sz="8" w:space="0"/>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rPr>
                <w:rFonts w:hint="eastAsia" w:ascii="宋体"/>
                <w:sz w:val="24"/>
                <w:szCs w:val="24"/>
              </w:rPr>
            </w:pPr>
          </w:p>
        </w:tc>
        <w:tc>
          <w:tcPr>
            <w:tcW w:w="2765" w:type="dxa"/>
            <w:gridSpan w:val="5"/>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未经复议直接起诉</w:t>
            </w:r>
          </w:p>
        </w:tc>
        <w:tc>
          <w:tcPr>
            <w:tcW w:w="2766" w:type="dxa"/>
            <w:gridSpan w:val="5"/>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复议后起诉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553" w:type="dxa"/>
            <w:tcBorders>
              <w:top w:val="nil"/>
              <w:left w:val="single" w:color="auto" w:sz="8" w:space="0"/>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结果维持</w:t>
            </w:r>
          </w:p>
        </w:tc>
        <w:tc>
          <w:tcPr>
            <w:tcW w:w="553"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结果纠正</w:t>
            </w:r>
          </w:p>
        </w:tc>
        <w:tc>
          <w:tcPr>
            <w:tcW w:w="553"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其他结果</w:t>
            </w:r>
          </w:p>
        </w:tc>
        <w:tc>
          <w:tcPr>
            <w:tcW w:w="553"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尚未审结</w:t>
            </w:r>
          </w:p>
        </w:tc>
        <w:tc>
          <w:tcPr>
            <w:tcW w:w="553"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总计</w:t>
            </w:r>
          </w:p>
        </w:tc>
        <w:tc>
          <w:tcPr>
            <w:tcW w:w="553"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结果维持</w:t>
            </w:r>
          </w:p>
        </w:tc>
        <w:tc>
          <w:tcPr>
            <w:tcW w:w="553"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结果纠正</w:t>
            </w:r>
          </w:p>
        </w:tc>
        <w:tc>
          <w:tcPr>
            <w:tcW w:w="553"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其他结果</w:t>
            </w:r>
          </w:p>
        </w:tc>
        <w:tc>
          <w:tcPr>
            <w:tcW w:w="553"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尚未审结</w:t>
            </w:r>
          </w:p>
        </w:tc>
        <w:tc>
          <w:tcPr>
            <w:tcW w:w="553"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总计</w:t>
            </w:r>
          </w:p>
        </w:tc>
        <w:tc>
          <w:tcPr>
            <w:tcW w:w="553"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结果维持</w:t>
            </w:r>
          </w:p>
        </w:tc>
        <w:tc>
          <w:tcPr>
            <w:tcW w:w="553"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结果纠正</w:t>
            </w:r>
          </w:p>
        </w:tc>
        <w:tc>
          <w:tcPr>
            <w:tcW w:w="553"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其他结果</w:t>
            </w:r>
          </w:p>
        </w:tc>
        <w:tc>
          <w:tcPr>
            <w:tcW w:w="553"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尚未审结</w:t>
            </w:r>
          </w:p>
        </w:tc>
        <w:tc>
          <w:tcPr>
            <w:tcW w:w="554"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总计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00" w:hRule="atLeast"/>
          <w:jc w:val="center"/>
        </w:trPr>
        <w:tc>
          <w:tcPr>
            <w:tcW w:w="553" w:type="dxa"/>
            <w:tcBorders>
              <w:top w:val="nil"/>
              <w:left w:val="single" w:color="auto" w:sz="8" w:space="0"/>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553"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553"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553"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553"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553"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553"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553"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553"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553"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553"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553"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553"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553"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554" w:type="dxa"/>
            <w:tcBorders>
              <w:top w:val="nil"/>
              <w:left w:val="nil"/>
              <w:bottom w:val="single" w:color="auto" w:sz="8" w:space="0"/>
              <w:right w:val="single" w:color="auto" w:sz="8" w:space="0"/>
            </w:tcBorders>
            <w:shd w:val="clear" w:color="auto" w:fill="FFFFFF" w:themeFill="background1"/>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r>
    </w:tbl>
    <w:p>
      <w:pPr>
        <w:pStyle w:val="3"/>
        <w:keepNext w:val="0"/>
        <w:keepLines w:val="0"/>
        <w:widowControl/>
        <w:suppressLineNumbers w:val="0"/>
        <w:spacing w:before="0" w:beforeAutospacing="0" w:after="0" w:afterAutospacing="0" w:line="420" w:lineRule="atLeast"/>
        <w:ind w:left="0" w:right="0"/>
      </w:pPr>
    </w:p>
    <w:p>
      <w:pPr>
        <w:pStyle w:val="3"/>
        <w:keepNext w:val="0"/>
        <w:keepLines w:val="0"/>
        <w:widowControl/>
        <w:suppressLineNumbers w:val="0"/>
        <w:spacing w:before="0" w:beforeAutospacing="0" w:after="0" w:afterAutospacing="0" w:line="420" w:lineRule="atLeast"/>
        <w:ind w:left="0" w:right="0" w:firstLine="420"/>
        <w:rPr>
          <w:rFonts w:hint="eastAsia" w:ascii="黑体" w:hAnsi="黑体" w:eastAsia="黑体" w:cs="黑体"/>
          <w:sz w:val="32"/>
          <w:szCs w:val="32"/>
          <w:lang w:eastAsia="zh-CN"/>
        </w:rPr>
      </w:pPr>
      <w:r>
        <w:rPr>
          <w:rFonts w:hint="eastAsia" w:ascii="黑体" w:hAnsi="黑体" w:eastAsia="黑体" w:cs="黑体"/>
          <w:sz w:val="32"/>
          <w:szCs w:val="32"/>
          <w:lang w:eastAsia="zh-CN"/>
        </w:rPr>
        <w:t>五、存在的主要问题及改进情况</w:t>
      </w:r>
    </w:p>
    <w:p>
      <w:pPr>
        <w:pStyle w:val="3"/>
        <w:keepNext w:val="0"/>
        <w:keepLines w:val="0"/>
        <w:widowControl/>
        <w:suppressLineNumbers w:val="0"/>
        <w:spacing w:before="0" w:beforeAutospacing="0" w:after="0" w:afterAutospacing="0" w:line="420" w:lineRule="atLeast"/>
        <w:ind w:right="0" w:firstLine="640" w:firstLineChars="200"/>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2023年,北仑区供销联社政府信息公开工作虽然已经取得了一定的工作成效，但仍然存在政府信息公开制度有待完善、政府信息公开意识有待提高等方面的问题。</w:t>
      </w:r>
      <w:r>
        <w:rPr>
          <w:rFonts w:hint="default" w:ascii="仿宋_GB2312" w:hAnsi="仿宋_GB2312" w:eastAsia="仿宋_GB2312" w:cs="仿宋_GB2312"/>
          <w:sz w:val="32"/>
          <w:szCs w:val="32"/>
          <w:lang w:val="en-US" w:eastAsia="zh-CN"/>
        </w:rPr>
        <w:br w:type="textWrapping"/>
      </w:r>
      <w:r>
        <w:rPr>
          <w:rFonts w:hint="eastAsia" w:ascii="仿宋_GB2312" w:hAnsi="仿宋_GB2312" w:eastAsia="仿宋_GB2312" w:cs="仿宋_GB2312"/>
          <w:sz w:val="32"/>
          <w:szCs w:val="32"/>
          <w:lang w:val="en-US" w:eastAsia="zh-CN"/>
        </w:rPr>
        <w:t xml:space="preserve">   </w:t>
      </w:r>
      <w:r>
        <w:rPr>
          <w:rFonts w:hint="default" w:ascii="仿宋_GB2312" w:hAnsi="仿宋_GB2312" w:eastAsia="仿宋_GB2312" w:cs="仿宋_GB2312"/>
          <w:sz w:val="32"/>
          <w:szCs w:val="32"/>
          <w:lang w:val="en-US" w:eastAsia="zh-CN"/>
        </w:rPr>
        <w:t>下一步，区联社将结合我单位工作实际，进一步完善政府信息主动公开工作制度，健全政府信息依申请公开制度、政府信息公开审查制度等体制机制，为政府信息公开工作提供长效性的制度保障。与此同时，将进一步强化信息公开力度。更加注重多渠道收集信息，完善政府信息公开内容，并特别关注三农、民生、服务等相关领域的信息采集与汇编工作，提升农合联在农民群众中的知晓度和影响力。</w:t>
      </w:r>
    </w:p>
    <w:p>
      <w:pPr>
        <w:pStyle w:val="3"/>
        <w:keepNext w:val="0"/>
        <w:keepLines w:val="0"/>
        <w:widowControl/>
        <w:suppressLineNumbers w:val="0"/>
        <w:spacing w:before="0" w:beforeAutospacing="0" w:after="0" w:afterAutospacing="0" w:line="420" w:lineRule="atLeast"/>
        <w:ind w:left="0" w:right="0" w:firstLine="420"/>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eastAsia="zh-CN"/>
        </w:rPr>
        <w:t>六</w:t>
      </w:r>
      <w:r>
        <w:rPr>
          <w:rFonts w:hint="eastAsia" w:ascii="黑体" w:hAnsi="黑体" w:eastAsia="黑体" w:cs="黑体"/>
          <w:b w:val="0"/>
          <w:bCs w:val="0"/>
          <w:sz w:val="32"/>
          <w:szCs w:val="32"/>
        </w:rPr>
        <w:t>、其他需要报告的事项</w:t>
      </w:r>
    </w:p>
    <w:p>
      <w:pPr>
        <w:pStyle w:val="3"/>
        <w:keepNext w:val="0"/>
        <w:keepLines w:val="0"/>
        <w:widowControl/>
        <w:numPr>
          <w:ilvl w:val="0"/>
          <w:numId w:val="0"/>
        </w:numPr>
        <w:suppressLineNumbers w:val="0"/>
        <w:spacing w:before="0" w:beforeAutospacing="0" w:after="0" w:afterAutospacing="0" w:line="420" w:lineRule="atLeast"/>
        <w:ind w:right="0" w:rightChars="0"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一年来未发生针对本部门有关政府信息公开事务的行政复议案及行政诉讼案，以及举报、投诉、泄密、信息公开应急事件等情况。全年没有发生因政务公开工作被追究责任的情况。</w:t>
      </w:r>
    </w:p>
    <w:p>
      <w:pPr>
        <w:pStyle w:val="3"/>
        <w:keepNext w:val="0"/>
        <w:keepLines w:val="0"/>
        <w:widowControl/>
        <w:suppressLineNumbers w:val="0"/>
        <w:spacing w:before="0" w:beforeAutospacing="0" w:after="0" w:afterAutospacing="0" w:line="420" w:lineRule="atLeast"/>
        <w:ind w:right="0" w:firstLine="640" w:firstLineChars="200"/>
        <w:jc w:val="right"/>
        <w:rPr>
          <w:rFonts w:hint="eastAsia" w:ascii="仿宋_GB2312" w:hAnsi="仿宋_GB2312" w:eastAsia="仿宋_GB2312" w:cs="仿宋_GB2312"/>
          <w:sz w:val="32"/>
          <w:szCs w:val="32"/>
          <w:lang w:val="en-US" w:eastAsia="zh-CN"/>
        </w:rPr>
      </w:pPr>
    </w:p>
    <w:p>
      <w:pPr>
        <w:pStyle w:val="3"/>
        <w:keepNext w:val="0"/>
        <w:keepLines w:val="0"/>
        <w:widowControl/>
        <w:suppressLineNumbers w:val="0"/>
        <w:spacing w:before="0" w:beforeAutospacing="0" w:after="0" w:afterAutospacing="0" w:line="420" w:lineRule="atLeast"/>
        <w:ind w:right="0" w:firstLine="640" w:firstLineChars="200"/>
        <w:jc w:val="right"/>
        <w:rPr>
          <w:rFonts w:hint="eastAsia" w:ascii="仿宋_GB2312" w:hAnsi="仿宋_GB2312" w:eastAsia="仿宋_GB2312" w:cs="仿宋_GB2312"/>
          <w:sz w:val="32"/>
          <w:szCs w:val="32"/>
          <w:lang w:val="en-US" w:eastAsia="zh-CN"/>
        </w:rPr>
      </w:pPr>
    </w:p>
    <w:p>
      <w:pPr>
        <w:pStyle w:val="3"/>
        <w:keepNext w:val="0"/>
        <w:keepLines w:val="0"/>
        <w:widowControl/>
        <w:suppressLineNumbers w:val="0"/>
        <w:spacing w:before="0" w:beforeAutospacing="0" w:after="0" w:afterAutospacing="0" w:line="420" w:lineRule="atLeast"/>
        <w:ind w:right="0"/>
        <w:jc w:val="both"/>
        <w:rPr>
          <w:rFonts w:hint="eastAsia" w:ascii="仿宋_GB2312" w:hAnsi="仿宋_GB2312" w:eastAsia="仿宋_GB2312" w:cs="仿宋_GB2312"/>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F3B3BE0"/>
    <w:multiLevelType w:val="singleLevel"/>
    <w:tmpl w:val="DF3B3BE0"/>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NhMGVhMmIzYTViYTZmNTA1MTRmMDE1ZGRkZDE4MmMifQ=="/>
  </w:docVars>
  <w:rsids>
    <w:rsidRoot w:val="00000000"/>
    <w:rsid w:val="010B3E39"/>
    <w:rsid w:val="01243887"/>
    <w:rsid w:val="04D1692C"/>
    <w:rsid w:val="05D1690A"/>
    <w:rsid w:val="0628623B"/>
    <w:rsid w:val="0AB539B9"/>
    <w:rsid w:val="10111231"/>
    <w:rsid w:val="1445074D"/>
    <w:rsid w:val="18BB19F6"/>
    <w:rsid w:val="207C76B2"/>
    <w:rsid w:val="2404347E"/>
    <w:rsid w:val="24FD1339"/>
    <w:rsid w:val="28D94FBA"/>
    <w:rsid w:val="2DA710BB"/>
    <w:rsid w:val="2F0C101F"/>
    <w:rsid w:val="2FCF4325"/>
    <w:rsid w:val="30FE333F"/>
    <w:rsid w:val="422E6787"/>
    <w:rsid w:val="43DC2CD2"/>
    <w:rsid w:val="442F13DF"/>
    <w:rsid w:val="44582FAD"/>
    <w:rsid w:val="461374FD"/>
    <w:rsid w:val="48894782"/>
    <w:rsid w:val="490948F4"/>
    <w:rsid w:val="51226393"/>
    <w:rsid w:val="55CC5F93"/>
    <w:rsid w:val="5C0D034C"/>
    <w:rsid w:val="5D43336D"/>
    <w:rsid w:val="60B27DE6"/>
    <w:rsid w:val="63204C0E"/>
    <w:rsid w:val="664410B9"/>
    <w:rsid w:val="742670B9"/>
    <w:rsid w:val="74EB648F"/>
    <w:rsid w:val="76E668BC"/>
    <w:rsid w:val="7916645F"/>
    <w:rsid w:val="79D45BAD"/>
    <w:rsid w:val="79DD5290"/>
    <w:rsid w:val="7ACD1D04"/>
    <w:rsid w:val="7AD73F5E"/>
    <w:rsid w:val="7C6F58D5"/>
    <w:rsid w:val="7C9E5222"/>
    <w:rsid w:val="7ECF746B"/>
    <w:rsid w:val="7F3626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Body Text Indent"/>
    <w:basedOn w:val="1"/>
    <w:autoRedefine/>
    <w:unhideWhenUsed/>
    <w:qFormat/>
    <w:uiPriority w:val="99"/>
    <w:pPr>
      <w:spacing w:after="120"/>
      <w:ind w:left="420" w:leftChars="200"/>
    </w:pPr>
    <w:rPr>
      <w:rFonts w:hint="default"/>
      <w:sz w:val="21"/>
    </w:rPr>
  </w:style>
  <w:style w:type="paragraph" w:styleId="3">
    <w:name w:val="Normal (Web)"/>
    <w:basedOn w:val="1"/>
    <w:autoRedefine/>
    <w:qFormat/>
    <w:uiPriority w:val="0"/>
    <w:pPr>
      <w:spacing w:before="0" w:beforeAutospacing="1" w:after="0" w:afterAutospacing="1"/>
      <w:ind w:left="0" w:right="0"/>
      <w:jc w:val="left"/>
    </w:pPr>
    <w:rPr>
      <w:kern w:val="0"/>
      <w:sz w:val="24"/>
      <w:lang w:val="en-US" w:eastAsia="zh-CN" w:bidi="ar"/>
    </w:rPr>
  </w:style>
  <w:style w:type="paragraph" w:styleId="4">
    <w:name w:val="Body Text First Indent 2"/>
    <w:basedOn w:val="2"/>
    <w:autoRedefine/>
    <w:unhideWhenUsed/>
    <w:qFormat/>
    <w:uiPriority w:val="99"/>
    <w:pPr>
      <w:spacing w:after="0" w:line="300" w:lineRule="auto"/>
      <w:ind w:left="0" w:leftChars="0"/>
    </w:pPr>
    <w:rPr>
      <w:rFonts w:hint="default" w:ascii="Calibri" w:hAnsi="Calibri"/>
      <w:i/>
      <w:sz w:val="21"/>
    </w:rPr>
  </w:style>
  <w:style w:type="character" w:styleId="7">
    <w:name w:val="Hyperlink"/>
    <w:basedOn w:val="6"/>
    <w:autoRedefine/>
    <w:qFormat/>
    <w:uiPriority w:val="0"/>
    <w:rPr>
      <w:color w:val="0000FF"/>
      <w:u w:val="single"/>
    </w:rPr>
  </w:style>
  <w:style w:type="paragraph" w:customStyle="1" w:styleId="8">
    <w:name w:val="_Style 3"/>
    <w:basedOn w:val="1"/>
    <w:next w:val="1"/>
    <w:autoRedefine/>
    <w:qFormat/>
    <w:uiPriority w:val="0"/>
    <w:pPr>
      <w:pBdr>
        <w:top w:val="single" w:color="auto" w:sz="6" w:space="1"/>
      </w:pBdr>
      <w:jc w:val="center"/>
    </w:pPr>
    <w:rPr>
      <w:rFonts w:ascii="Arial" w:eastAsia="宋体"/>
      <w:vanish/>
      <w:sz w:val="16"/>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2071</Words>
  <Characters>2121</Characters>
  <Lines>0</Lines>
  <Paragraphs>0</Paragraphs>
  <TotalTime>124</TotalTime>
  <ScaleCrop>false</ScaleCrop>
  <LinksUpToDate>false</LinksUpToDate>
  <CharactersWithSpaces>2121</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晨星</cp:lastModifiedBy>
  <dcterms:modified xsi:type="dcterms:W3CDTF">2024-01-25T05:31:26Z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EAF46E5201F34A56B5D4FF4EE24363A5</vt:lpwstr>
  </property>
</Properties>
</file>