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left="0"/>
        <w:jc w:val="center"/>
        <w:rPr>
          <w:rFonts w:ascii="微软雅黑" w:eastAsia="微软雅黑"/>
          <w:b/>
          <w:bCs w:val="0"/>
          <w:i w:val="0"/>
          <w:iCs w:val="0"/>
          <w:caps w:val="0"/>
          <w:smallCaps w:val="0"/>
          <w:color w:val="333333"/>
          <w:spacing w:val="0"/>
          <w:sz w:val="45"/>
          <w:szCs w:val="45"/>
          <w:shd w:val="clear" w:color="auto" w:fill="FFFFFF"/>
        </w:rPr>
      </w:pPr>
      <w:r>
        <w:rPr>
          <w:rFonts w:hint="eastAsia" w:ascii="方正小标宋简体" w:eastAsia="方正小标宋简体"/>
          <w:b/>
          <w:bCs w:val="0"/>
          <w:i w:val="0"/>
          <w:iCs w:val="0"/>
          <w:caps w:val="0"/>
          <w:smallCaps w:val="0"/>
          <w:color w:val="333333"/>
          <w:spacing w:val="0"/>
          <w:sz w:val="44"/>
          <w:szCs w:val="44"/>
          <w:shd w:val="clear" w:color="auto" w:fill="FFFFFF"/>
        </w:rPr>
        <w:t>2019年度北仑区住房资金管理中心政府信息公开工作年度报告</w:t>
      </w:r>
    </w:p>
    <w:p>
      <w:pPr>
        <w:spacing w:line="600" w:lineRule="exact"/>
        <w:ind w:left="0"/>
        <w:jc w:val="center"/>
        <w:rPr>
          <w:rFonts w:hint="eastAsia" w:ascii="方正小标宋简体" w:eastAsia="方正小标宋简体"/>
          <w:b/>
          <w:color w:val="333333"/>
          <w:sz w:val="44"/>
          <w:szCs w:val="44"/>
          <w:shd w:val="clear" w:color="auto" w:fill="FFFFFF"/>
        </w:rPr>
      </w:pP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根据《中华人民共和国政府信息公开条例》（以下简称《条例》）和《宁波市政府信息公开规定》，特向社会公布2019年北仑区住房资金管理中心政府信息公开工作年度报告。本年报由政府信息公开工作基本情况概述、主动公开政府信息情况、依申请公开政府信息情况、政府信息公开收费及减免情况、因政府信息公开申请行政复议和提起行政诉讼情况、政府信息公开工作存在的主要问题及改进措施、其他需要报告的事项等七个部分组成，并附相关数据统计。报告中各类数据的统计期限，自2019年1月1日起至2019年12月31日止。</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黑体" w:eastAsia="黑体"/>
          <w:b w:val="0"/>
          <w:bCs w:val="0"/>
          <w:i w:val="0"/>
          <w:iCs w:val="0"/>
          <w:caps w:val="0"/>
          <w:smallCaps w:val="0"/>
          <w:vanish w:val="0"/>
          <w:color w:val="333333"/>
          <w:spacing w:val="0"/>
          <w:sz w:val="32"/>
          <w:szCs w:val="32"/>
        </w:rPr>
      </w:pPr>
      <w:r>
        <w:rPr>
          <w:rFonts w:hint="eastAsia" w:ascii="黑体" w:eastAsia="黑体"/>
          <w:b w:val="0"/>
          <w:bCs w:val="0"/>
          <w:i w:val="0"/>
          <w:iCs w:val="0"/>
          <w:caps w:val="0"/>
          <w:smallCaps w:val="0"/>
          <w:vanish w:val="0"/>
          <w:color w:val="333333"/>
          <w:spacing w:val="0"/>
          <w:sz w:val="32"/>
          <w:szCs w:val="32"/>
        </w:rPr>
        <w:t>一、政府信息公开基本情况概述</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3" w:firstLineChars="200"/>
        <w:jc w:val="left"/>
        <w:rPr>
          <w:rFonts w:hint="eastAsia" w:ascii="仿宋_GB2312" w:eastAsia="仿宋_GB2312"/>
          <w:b/>
          <w:bCs/>
          <w:i w:val="0"/>
          <w:iCs w:val="0"/>
          <w:caps w:val="0"/>
          <w:smallCaps w:val="0"/>
          <w:vanish w:val="0"/>
          <w:color w:val="333333"/>
          <w:spacing w:val="0"/>
          <w:sz w:val="32"/>
          <w:szCs w:val="32"/>
        </w:rPr>
      </w:pPr>
      <w:r>
        <w:rPr>
          <w:rFonts w:hint="eastAsia" w:ascii="仿宋_GB2312" w:eastAsia="仿宋_GB2312"/>
          <w:b/>
          <w:bCs/>
          <w:i w:val="0"/>
          <w:iCs w:val="0"/>
          <w:caps w:val="0"/>
          <w:smallCaps w:val="0"/>
          <w:vanish w:val="0"/>
          <w:color w:val="333333"/>
          <w:spacing w:val="0"/>
          <w:sz w:val="32"/>
          <w:szCs w:val="32"/>
        </w:rPr>
        <w:t>1、工作整体推进情况</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2019年，我中心高度重视政府信息公开工作，认真贯彻落实上级有关文件精神，在中心领导的重视支持下，各部门密切配合下，扎实做好政府信息公开网络维护更新工作，进一步规范信息格式，更新目录和指南，及时做好日常信息维护工作，保证了政府信息公开工作的稳步推进和有序开展。</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3" w:firstLineChars="200"/>
        <w:jc w:val="left"/>
        <w:rPr>
          <w:rFonts w:hint="eastAsia" w:ascii="仿宋_GB2312" w:eastAsia="仿宋_GB2312"/>
          <w:b/>
          <w:bCs/>
          <w:i w:val="0"/>
          <w:iCs w:val="0"/>
          <w:caps w:val="0"/>
          <w:smallCaps w:val="0"/>
          <w:vanish w:val="0"/>
          <w:color w:val="333333"/>
          <w:spacing w:val="0"/>
          <w:sz w:val="32"/>
          <w:szCs w:val="32"/>
        </w:rPr>
      </w:pPr>
      <w:r>
        <w:rPr>
          <w:rFonts w:hint="eastAsia" w:ascii="仿宋_GB2312" w:eastAsia="仿宋_GB2312"/>
          <w:b/>
          <w:bCs/>
          <w:i w:val="0"/>
          <w:iCs w:val="0"/>
          <w:caps w:val="0"/>
          <w:smallCaps w:val="0"/>
          <w:vanish w:val="0"/>
          <w:color w:val="333333"/>
          <w:spacing w:val="0"/>
          <w:sz w:val="32"/>
          <w:szCs w:val="32"/>
        </w:rPr>
        <w:t>2、建立健全工作机制、制度规范情况</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为确保政府信息公开工作的有序开展，建立由主要领导负总责，分管领导具体抓，办公室牵头负责，各科室紧密配合的工作机制，并明确专人负责公开平台的日常维护和管理工作。确保责任到人，任务落实到位。建立了完善政府信息公开的审查、监督等工作机制,在日常工作中，严格执行《宁波市北仑区关于政府信息公开前进行审查的规定》《宁波市北仑区关于违反政府信息公开规定行为的责任追究规定》《宁波市北仑区政府公开信息送交办法》等制度，做到以制度促规范，以制度促长效。</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3" w:firstLineChars="200"/>
        <w:jc w:val="left"/>
        <w:rPr>
          <w:rFonts w:hint="eastAsia" w:ascii="仿宋_GB2312" w:eastAsia="仿宋_GB2312"/>
          <w:b/>
          <w:bCs/>
          <w:i w:val="0"/>
          <w:iCs w:val="0"/>
          <w:caps w:val="0"/>
          <w:smallCaps w:val="0"/>
          <w:vanish w:val="0"/>
          <w:color w:val="333333"/>
          <w:spacing w:val="0"/>
          <w:sz w:val="32"/>
          <w:szCs w:val="32"/>
        </w:rPr>
      </w:pPr>
      <w:r>
        <w:rPr>
          <w:rFonts w:hint="eastAsia" w:ascii="仿宋_GB2312" w:eastAsia="仿宋_GB2312"/>
          <w:b/>
          <w:bCs/>
          <w:i w:val="0"/>
          <w:iCs w:val="0"/>
          <w:caps w:val="0"/>
          <w:smallCaps w:val="0"/>
          <w:vanish w:val="0"/>
          <w:color w:val="333333"/>
          <w:spacing w:val="0"/>
          <w:sz w:val="32"/>
          <w:szCs w:val="32"/>
        </w:rPr>
        <w:t>3、落实和制定相关配套措施情况</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中心及时做好政府信息公开平台的维护工作，按时更新信息内容，定期查看意见箱和依申请情况，主动听取公众的意见和建议。在多次政府网站普查过程中取得了较好的成绩，对存在的不足进行了及时地整改。自觉接受社会群众监督，在政府信息公开网公开监督投诉电话，要求对收到的各种投诉，及时查实，及时处理。</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黑体" w:eastAsia="黑体"/>
          <w:b w:val="0"/>
          <w:bCs w:val="0"/>
          <w:i w:val="0"/>
          <w:iCs w:val="0"/>
          <w:caps w:val="0"/>
          <w:smallCaps w:val="0"/>
          <w:vanish w:val="0"/>
          <w:color w:val="333333"/>
          <w:spacing w:val="0"/>
          <w:sz w:val="32"/>
          <w:szCs w:val="32"/>
        </w:rPr>
      </w:pPr>
      <w:r>
        <w:rPr>
          <w:rFonts w:hint="eastAsia" w:ascii="黑体" w:eastAsia="黑体"/>
          <w:b w:val="0"/>
          <w:bCs w:val="0"/>
          <w:i w:val="0"/>
          <w:iCs w:val="0"/>
          <w:caps w:val="0"/>
          <w:smallCaps w:val="0"/>
          <w:vanish w:val="0"/>
          <w:color w:val="333333"/>
          <w:spacing w:val="0"/>
          <w:sz w:val="32"/>
          <w:szCs w:val="32"/>
        </w:rPr>
        <w:t>二、主动公开政府信息的情况</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1、2019年我中心根据信息公开的有关规定，从公众需要出发，按照“公开为原则，不公开为例外”的总体要求，妥善处理公开与保密的关系，在确保不失密不泄密的前提下，确定需要公开的，及时在北仑区政府信息公开网站予以发布，按照《宁波市北仑区关于违反政府信息公开规定行为的责任追究规定》，建立相应处罚机制。进行了进一步的完善，共设置了“机构概况”“法规公文”“工作信息”“人事信息”“财政信息”等栏目。内容涉及部门职能、领导介绍、机构设置、计划总结、人事任免、部门文件、财政预决算、政府建设、保障性住房等内容。</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2、在日常工作中，我中心在北仑区人民政府网站及时发布住房公积金和住房保障公示、公告等政府公开信息，保证群众、企业、社会团体能及时获取我区住房公积金政策新动态和住房保障申报内容。我中心开通的官方的政务微信公众号，及时更新住房公积金和住房保障信息发布，为民众知晓住房公积金政策和住房保障申请的提供了新的渠道。</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3、圆满完成了区政府布置的各项工作，及时向区政府报送和在政府信息公开相关栏目中公开发布中心信息。</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截止2019年12月30日，我中心政府信息北仑政府信息公开网站主动公开数共136条，政务微信主动公开政府信息数51条。</w:t>
      </w:r>
    </w:p>
    <w:tbl>
      <w:tblPr>
        <w:tblStyle w:val="6"/>
        <w:tblW w:w="8931" w:type="dxa"/>
        <w:tblInd w:w="0" w:type="dxa"/>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2074"/>
        <w:gridCol w:w="2605"/>
        <w:gridCol w:w="2268"/>
        <w:gridCol w:w="1984"/>
      </w:tblGrid>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hidden/>
        </w:trPr>
        <w:tc>
          <w:tcPr>
            <w:tcW w:w="8931" w:type="dxa"/>
            <w:gridSpan w:val="4"/>
            <w:tcBorders>
              <w:top w:val="single" w:color="auto" w:sz="8" w:space="0"/>
              <w:left w:val="single" w:color="auto" w:sz="8" w:space="0"/>
              <w:bottom w:val="single" w:color="auto" w:sz="8" w:space="0"/>
              <w:right w:val="single" w:color="auto" w:sz="8" w:space="0"/>
              <w:tl2br w:val="nil"/>
              <w:tr2bl w:val="nil"/>
            </w:tcBorders>
          </w:tcPr>
          <w:p>
            <w:pPr>
              <w:pBdr>
                <w:top w:val="none" w:color="auto" w:sz="0" w:space="0"/>
                <w:left w:val="none" w:color="auto" w:sz="0" w:space="0"/>
                <w:bottom w:val="none" w:color="auto" w:sz="0" w:space="0"/>
                <w:right w:val="none" w:color="auto" w:sz="0" w:space="0"/>
              </w:pBdr>
              <w:spacing w:before="0" w:after="0" w:line="600" w:lineRule="exact"/>
              <w:ind w:left="0" w:right="0" w:firstLine="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第二十条第（一）项</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PrEx>
        <w:trPr>
          <w:trHeight w:val="567" w:hRule="atLeast"/>
          <w:hidden/>
        </w:trPr>
        <w:tc>
          <w:tcPr>
            <w:tcW w:w="207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firstLine="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信息内容</w:t>
            </w:r>
          </w:p>
        </w:tc>
        <w:tc>
          <w:tcPr>
            <w:tcW w:w="2605"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firstLine="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本年新制作数量</w:t>
            </w:r>
          </w:p>
        </w:tc>
        <w:tc>
          <w:tcPr>
            <w:tcW w:w="226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firstLine="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本年新公开数量</w:t>
            </w:r>
          </w:p>
        </w:tc>
        <w:tc>
          <w:tcPr>
            <w:tcW w:w="198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firstLine="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对外公开总数量</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hidden/>
        </w:trPr>
        <w:tc>
          <w:tcPr>
            <w:tcW w:w="207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firstLine="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规章</w:t>
            </w:r>
          </w:p>
        </w:tc>
        <w:tc>
          <w:tcPr>
            <w:tcW w:w="2605"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firstLine="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226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firstLine="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198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firstLine="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hidden/>
        </w:trPr>
        <w:tc>
          <w:tcPr>
            <w:tcW w:w="207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firstLine="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规范性文件</w:t>
            </w:r>
          </w:p>
        </w:tc>
        <w:tc>
          <w:tcPr>
            <w:tcW w:w="2605"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firstLine="0"/>
              <w:jc w:val="center"/>
              <w:rPr>
                <w:rFonts w:hint="eastAsia" w:ascii="仿宋_GB2312" w:eastAsia="仿宋_GB2312"/>
                <w:b w:val="0"/>
                <w:bCs w:val="0"/>
                <w:i w:val="0"/>
                <w:iCs w:val="0"/>
                <w:caps w:val="0"/>
                <w:smallCaps w:val="0"/>
                <w:vanish w:val="0"/>
                <w:color w:val="333333"/>
                <w:spacing w:val="0"/>
                <w:sz w:val="32"/>
                <w:szCs w:val="32"/>
              </w:rPr>
            </w:pPr>
            <w:r>
              <w:rPr>
                <w:rFonts w:ascii="仿宋_GB2312" w:eastAsia="仿宋_GB2312"/>
                <w:b w:val="0"/>
                <w:bCs w:val="0"/>
                <w:i w:val="0"/>
                <w:iCs w:val="0"/>
                <w:caps w:val="0"/>
                <w:smallCaps w:val="0"/>
                <w:vanish w:val="0"/>
                <w:color w:val="333333"/>
                <w:spacing w:val="0"/>
                <w:sz w:val="32"/>
                <w:szCs w:val="32"/>
              </w:rPr>
              <w:t>2</w:t>
            </w:r>
          </w:p>
        </w:tc>
        <w:tc>
          <w:tcPr>
            <w:tcW w:w="226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firstLine="0"/>
              <w:jc w:val="center"/>
              <w:rPr>
                <w:rFonts w:hint="eastAsia" w:ascii="仿宋_GB2312" w:eastAsia="仿宋_GB2312"/>
                <w:b w:val="0"/>
                <w:bCs w:val="0"/>
                <w:i w:val="0"/>
                <w:iCs w:val="0"/>
                <w:caps w:val="0"/>
                <w:smallCaps w:val="0"/>
                <w:vanish w:val="0"/>
                <w:color w:val="333333"/>
                <w:spacing w:val="0"/>
                <w:sz w:val="32"/>
                <w:szCs w:val="32"/>
              </w:rPr>
            </w:pPr>
            <w:r>
              <w:rPr>
                <w:rFonts w:ascii="仿宋_GB2312" w:eastAsia="仿宋_GB2312"/>
                <w:b w:val="0"/>
                <w:bCs w:val="0"/>
                <w:i w:val="0"/>
                <w:iCs w:val="0"/>
                <w:caps w:val="0"/>
                <w:smallCaps w:val="0"/>
                <w:vanish w:val="0"/>
                <w:color w:val="333333"/>
                <w:spacing w:val="0"/>
                <w:sz w:val="32"/>
                <w:szCs w:val="32"/>
              </w:rPr>
              <w:t>2</w:t>
            </w:r>
          </w:p>
        </w:tc>
        <w:tc>
          <w:tcPr>
            <w:tcW w:w="198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firstLine="0"/>
              <w:jc w:val="center"/>
              <w:rPr>
                <w:rFonts w:hint="eastAsia" w:ascii="仿宋_GB2312" w:eastAsia="仿宋_GB2312"/>
                <w:b w:val="0"/>
                <w:bCs w:val="0"/>
                <w:i w:val="0"/>
                <w:iCs w:val="0"/>
                <w:caps w:val="0"/>
                <w:smallCaps w:val="0"/>
                <w:vanish w:val="0"/>
                <w:color w:val="333333"/>
                <w:spacing w:val="0"/>
                <w:sz w:val="32"/>
                <w:szCs w:val="32"/>
              </w:rPr>
            </w:pPr>
            <w:r>
              <w:rPr>
                <w:rFonts w:ascii="仿宋_GB2312" w:eastAsia="仿宋_GB2312"/>
                <w:b w:val="0"/>
                <w:bCs w:val="0"/>
                <w:i w:val="0"/>
                <w:iCs w:val="0"/>
                <w:caps w:val="0"/>
                <w:smallCaps w:val="0"/>
                <w:vanish w:val="0"/>
                <w:color w:val="333333"/>
                <w:spacing w:val="0"/>
                <w:sz w:val="32"/>
                <w:szCs w:val="32"/>
              </w:rPr>
              <w:t>68</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hidden/>
        </w:trPr>
        <w:tc>
          <w:tcPr>
            <w:tcW w:w="8931" w:type="dxa"/>
            <w:gridSpan w:val="4"/>
            <w:tcBorders>
              <w:top w:val="single" w:color="auto" w:sz="8" w:space="0"/>
              <w:left w:val="single" w:color="auto" w:sz="8" w:space="0"/>
              <w:bottom w:val="single" w:color="auto" w:sz="8" w:space="0"/>
              <w:right w:val="single" w:color="auto" w:sz="8" w:space="0"/>
              <w:tl2br w:val="nil"/>
              <w:tr2bl w:val="nil"/>
            </w:tcBorders>
          </w:tcPr>
          <w:p>
            <w:pPr>
              <w:pBdr>
                <w:top w:val="none" w:color="auto" w:sz="0" w:space="0"/>
                <w:left w:val="none" w:color="auto" w:sz="0" w:space="0"/>
                <w:bottom w:val="none" w:color="auto" w:sz="0" w:space="0"/>
                <w:right w:val="none" w:color="auto" w:sz="0" w:space="0"/>
              </w:pBdr>
              <w:spacing w:before="0" w:after="0" w:line="600" w:lineRule="exact"/>
              <w:ind w:left="0" w:right="0" w:firstLine="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第二十条第（五）项</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hidden/>
        </w:trPr>
        <w:tc>
          <w:tcPr>
            <w:tcW w:w="207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firstLine="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信息内容</w:t>
            </w:r>
          </w:p>
        </w:tc>
        <w:tc>
          <w:tcPr>
            <w:tcW w:w="2605"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firstLine="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上一年项目数量</w:t>
            </w:r>
          </w:p>
        </w:tc>
        <w:tc>
          <w:tcPr>
            <w:tcW w:w="226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firstLine="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本年增/减</w:t>
            </w:r>
          </w:p>
        </w:tc>
        <w:tc>
          <w:tcPr>
            <w:tcW w:w="198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firstLine="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处理决定数量</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hidden/>
        </w:trPr>
        <w:tc>
          <w:tcPr>
            <w:tcW w:w="207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行政许可</w:t>
            </w:r>
          </w:p>
        </w:tc>
        <w:tc>
          <w:tcPr>
            <w:tcW w:w="2605"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191F25"/>
                <w:spacing w:val="0"/>
                <w:sz w:val="32"/>
                <w:szCs w:val="32"/>
                <w:shd w:val="clear" w:color="auto" w:fill="FFFFFF"/>
              </w:rPr>
              <w:t>0</w:t>
            </w:r>
          </w:p>
        </w:tc>
        <w:tc>
          <w:tcPr>
            <w:tcW w:w="226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191F25"/>
                <w:spacing w:val="0"/>
                <w:sz w:val="32"/>
                <w:szCs w:val="32"/>
                <w:shd w:val="clear" w:color="auto" w:fill="FFFFFF"/>
              </w:rPr>
              <w:t>0</w:t>
            </w:r>
          </w:p>
        </w:tc>
        <w:tc>
          <w:tcPr>
            <w:tcW w:w="198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191F25"/>
                <w:spacing w:val="0"/>
                <w:sz w:val="32"/>
                <w:szCs w:val="32"/>
                <w:shd w:val="clear" w:color="auto" w:fill="FFFFFF"/>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hidden/>
        </w:trPr>
        <w:tc>
          <w:tcPr>
            <w:tcW w:w="207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其他对外管理服务事项</w:t>
            </w:r>
          </w:p>
        </w:tc>
        <w:tc>
          <w:tcPr>
            <w:tcW w:w="2605"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226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198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hidden/>
        </w:trPr>
        <w:tc>
          <w:tcPr>
            <w:tcW w:w="8931" w:type="dxa"/>
            <w:gridSpan w:val="4"/>
            <w:tcBorders>
              <w:top w:val="single" w:color="auto" w:sz="8" w:space="0"/>
              <w:left w:val="single" w:color="auto" w:sz="8" w:space="0"/>
              <w:bottom w:val="single" w:color="auto" w:sz="8" w:space="0"/>
              <w:right w:val="single" w:color="auto" w:sz="8" w:space="0"/>
              <w:tl2br w:val="nil"/>
              <w:tr2bl w:val="nil"/>
            </w:tcBorders>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第二十条第（六）项</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hidden/>
        </w:trPr>
        <w:tc>
          <w:tcPr>
            <w:tcW w:w="207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信息内容</w:t>
            </w:r>
          </w:p>
        </w:tc>
        <w:tc>
          <w:tcPr>
            <w:tcW w:w="2605"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上一年项目数量</w:t>
            </w:r>
          </w:p>
        </w:tc>
        <w:tc>
          <w:tcPr>
            <w:tcW w:w="226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本年增/减</w:t>
            </w:r>
          </w:p>
        </w:tc>
        <w:tc>
          <w:tcPr>
            <w:tcW w:w="198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处理决定数量</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hidden/>
        </w:trPr>
        <w:tc>
          <w:tcPr>
            <w:tcW w:w="207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行政处罚</w:t>
            </w:r>
          </w:p>
        </w:tc>
        <w:tc>
          <w:tcPr>
            <w:tcW w:w="2605"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226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198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hidden/>
        </w:trPr>
        <w:tc>
          <w:tcPr>
            <w:tcW w:w="207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行政强制</w:t>
            </w:r>
          </w:p>
        </w:tc>
        <w:tc>
          <w:tcPr>
            <w:tcW w:w="2605"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226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198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hidden/>
        </w:trPr>
        <w:tc>
          <w:tcPr>
            <w:tcW w:w="8931" w:type="dxa"/>
            <w:gridSpan w:val="4"/>
            <w:tcBorders>
              <w:top w:val="single" w:color="auto" w:sz="8" w:space="0"/>
              <w:left w:val="single" w:color="auto" w:sz="8" w:space="0"/>
              <w:bottom w:val="single" w:color="auto" w:sz="8" w:space="0"/>
              <w:right w:val="single" w:color="auto" w:sz="8" w:space="0"/>
              <w:tl2br w:val="nil"/>
              <w:tr2bl w:val="nil"/>
            </w:tcBorders>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第二十条第（八）项</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hidden/>
        </w:trPr>
        <w:tc>
          <w:tcPr>
            <w:tcW w:w="207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信息内容</w:t>
            </w:r>
          </w:p>
        </w:tc>
        <w:tc>
          <w:tcPr>
            <w:tcW w:w="2605"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上一年项目数量</w:t>
            </w:r>
          </w:p>
        </w:tc>
        <w:tc>
          <w:tcPr>
            <w:tcW w:w="4252" w:type="dxa"/>
            <w:gridSpan w:val="2"/>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本年增/减</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hidden/>
        </w:trPr>
        <w:tc>
          <w:tcPr>
            <w:tcW w:w="207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行政事业性收费</w:t>
            </w:r>
          </w:p>
        </w:tc>
        <w:tc>
          <w:tcPr>
            <w:tcW w:w="2605"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4252" w:type="dxa"/>
            <w:gridSpan w:val="2"/>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hidden/>
        </w:trPr>
        <w:tc>
          <w:tcPr>
            <w:tcW w:w="8931" w:type="dxa"/>
            <w:gridSpan w:val="4"/>
            <w:tcBorders>
              <w:top w:val="single" w:color="auto" w:sz="8" w:space="0"/>
              <w:left w:val="single" w:color="auto" w:sz="8" w:space="0"/>
              <w:bottom w:val="single" w:color="auto" w:sz="8" w:space="0"/>
              <w:right w:val="single" w:color="auto" w:sz="8" w:space="0"/>
              <w:tl2br w:val="nil"/>
              <w:tr2bl w:val="nil"/>
            </w:tcBorders>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第二十条第（九）项</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hidden/>
        </w:trPr>
        <w:tc>
          <w:tcPr>
            <w:tcW w:w="207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信息内容</w:t>
            </w:r>
          </w:p>
        </w:tc>
        <w:tc>
          <w:tcPr>
            <w:tcW w:w="2605"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采购项目数量</w:t>
            </w:r>
          </w:p>
        </w:tc>
        <w:tc>
          <w:tcPr>
            <w:tcW w:w="4252" w:type="dxa"/>
            <w:gridSpan w:val="2"/>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采购总金额</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567" w:hRule="atLeast"/>
          <w:hidden/>
        </w:trPr>
        <w:tc>
          <w:tcPr>
            <w:tcW w:w="2074"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政府集中采购</w:t>
            </w:r>
          </w:p>
        </w:tc>
        <w:tc>
          <w:tcPr>
            <w:tcW w:w="2605"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4</w:t>
            </w:r>
          </w:p>
        </w:tc>
        <w:tc>
          <w:tcPr>
            <w:tcW w:w="4252" w:type="dxa"/>
            <w:gridSpan w:val="2"/>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1261</w:t>
            </w:r>
            <w:r>
              <w:rPr>
                <w:rFonts w:ascii="仿宋_GB2312" w:eastAsia="仿宋_GB2312"/>
                <w:b w:val="0"/>
                <w:bCs w:val="0"/>
                <w:i w:val="0"/>
                <w:iCs w:val="0"/>
                <w:caps w:val="0"/>
                <w:smallCaps w:val="0"/>
                <w:vanish w:val="0"/>
                <w:color w:val="333333"/>
                <w:spacing w:val="0"/>
                <w:sz w:val="32"/>
                <w:szCs w:val="32"/>
              </w:rPr>
              <w:t>00元</w:t>
            </w:r>
          </w:p>
        </w:tc>
      </w:tr>
    </w:tbl>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黑体" w:eastAsia="黑体"/>
          <w:b w:val="0"/>
          <w:bCs w:val="0"/>
          <w:i w:val="0"/>
          <w:iCs w:val="0"/>
          <w:caps w:val="0"/>
          <w:smallCaps w:val="0"/>
          <w:vanish w:val="0"/>
          <w:color w:val="333333"/>
          <w:spacing w:val="0"/>
          <w:sz w:val="32"/>
          <w:szCs w:val="32"/>
        </w:rPr>
      </w:pPr>
      <w:r>
        <w:rPr>
          <w:rFonts w:hint="eastAsia" w:ascii="黑体" w:eastAsia="黑体"/>
          <w:b w:val="0"/>
          <w:bCs w:val="0"/>
          <w:i w:val="0"/>
          <w:iCs w:val="0"/>
          <w:caps w:val="0"/>
          <w:smallCaps w:val="0"/>
          <w:vanish w:val="0"/>
          <w:color w:val="333333"/>
          <w:spacing w:val="0"/>
          <w:sz w:val="32"/>
          <w:szCs w:val="32"/>
        </w:rPr>
        <w:t>三、收到和处理政府信息公开申请情况</w:t>
      </w:r>
    </w:p>
    <w:tbl>
      <w:tblPr>
        <w:tblStyle w:val="6"/>
        <w:tblW w:w="8940" w:type="dxa"/>
        <w:jc w:val="center"/>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004"/>
        <w:gridCol w:w="1085"/>
        <w:gridCol w:w="1930"/>
        <w:gridCol w:w="798"/>
        <w:gridCol w:w="673"/>
        <w:gridCol w:w="676"/>
        <w:gridCol w:w="943"/>
        <w:gridCol w:w="775"/>
        <w:gridCol w:w="542"/>
        <w:gridCol w:w="514"/>
      </w:tblGrid>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449" w:hRule="atLeast"/>
          <w:jc w:val="center"/>
          <w:hidden/>
        </w:trPr>
        <w:tc>
          <w:tcPr>
            <w:tcW w:w="4019" w:type="dxa"/>
            <w:gridSpan w:val="3"/>
            <w:vMerge w:val="restart"/>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（本列数据的勾稽关系为：第一项加第二项之和，等于第三项加第四项之和）</w:t>
            </w:r>
          </w:p>
        </w:tc>
        <w:tc>
          <w:tcPr>
            <w:tcW w:w="4921" w:type="dxa"/>
            <w:gridSpan w:val="7"/>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申请人情况</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449" w:hRule="atLeast"/>
          <w:jc w:val="center"/>
        </w:trPr>
        <w:tc>
          <w:tcPr>
            <w:tcW w:w="4019" w:type="dxa"/>
            <w:gridSpan w:val="3"/>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798" w:type="dxa"/>
            <w:vMerge w:val="restart"/>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自然人</w:t>
            </w:r>
          </w:p>
        </w:tc>
        <w:tc>
          <w:tcPr>
            <w:tcW w:w="3609" w:type="dxa"/>
            <w:gridSpan w:val="5"/>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法人或其他组织</w:t>
            </w:r>
          </w:p>
        </w:tc>
        <w:tc>
          <w:tcPr>
            <w:tcW w:w="514" w:type="dxa"/>
            <w:vMerge w:val="restart"/>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总计</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PrEx>
        <w:trPr>
          <w:trHeight w:val="1655" w:hRule="atLeast"/>
          <w:jc w:val="center"/>
        </w:trPr>
        <w:tc>
          <w:tcPr>
            <w:tcW w:w="4019" w:type="dxa"/>
            <w:gridSpan w:val="3"/>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798"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商业企业</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科研机构</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社会公益组织</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法律服务机构</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其他</w:t>
            </w:r>
          </w:p>
        </w:tc>
        <w:tc>
          <w:tcPr>
            <w:tcW w:w="514"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838" w:hRule="atLeast"/>
          <w:jc w:val="center"/>
          <w:hidden/>
        </w:trPr>
        <w:tc>
          <w:tcPr>
            <w:tcW w:w="4019" w:type="dxa"/>
            <w:gridSpan w:val="3"/>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一、本年新收到政府信息公开申请数量</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456" w:hRule="atLeast"/>
          <w:jc w:val="center"/>
          <w:hidden/>
        </w:trPr>
        <w:tc>
          <w:tcPr>
            <w:tcW w:w="4019" w:type="dxa"/>
            <w:gridSpan w:val="3"/>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二、上年转结政府信息公开申请数量</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449" w:hRule="atLeast"/>
          <w:jc w:val="center"/>
          <w:hidden/>
        </w:trPr>
        <w:tc>
          <w:tcPr>
            <w:tcW w:w="1004" w:type="dxa"/>
            <w:vMerge w:val="restart"/>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三、本年度办理结果</w:t>
            </w:r>
          </w:p>
        </w:tc>
        <w:tc>
          <w:tcPr>
            <w:tcW w:w="3015" w:type="dxa"/>
            <w:gridSpan w:val="2"/>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（一）予以公开</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1283" w:hRule="atLeast"/>
          <w:jc w:val="center"/>
        </w:trPr>
        <w:tc>
          <w:tcPr>
            <w:tcW w:w="1004"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3015" w:type="dxa"/>
            <w:gridSpan w:val="2"/>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（二）部分公开（区分处理的，只计这一情形，不计其他情形）</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449" w:hRule="atLeast"/>
          <w:jc w:val="center"/>
        </w:trPr>
        <w:tc>
          <w:tcPr>
            <w:tcW w:w="1004"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085" w:type="dxa"/>
            <w:vMerge w:val="restart"/>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（三）不予公开</w:t>
            </w:r>
          </w:p>
        </w:tc>
        <w:tc>
          <w:tcPr>
            <w:tcW w:w="1930"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1.属于国家秘密</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866" w:hRule="atLeast"/>
          <w:jc w:val="center"/>
        </w:trPr>
        <w:tc>
          <w:tcPr>
            <w:tcW w:w="1004"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085"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930"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2.其他法律行政法规禁止公开</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866" w:hRule="atLeast"/>
          <w:jc w:val="center"/>
        </w:trPr>
        <w:tc>
          <w:tcPr>
            <w:tcW w:w="1004"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085"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930"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3.危及“三安全一稳定”</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866" w:hRule="atLeast"/>
          <w:jc w:val="center"/>
        </w:trPr>
        <w:tc>
          <w:tcPr>
            <w:tcW w:w="1004"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085"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930"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4.保护第三方合法权益</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866" w:hRule="atLeast"/>
          <w:jc w:val="center"/>
        </w:trPr>
        <w:tc>
          <w:tcPr>
            <w:tcW w:w="1004"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085"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930"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5.属于三类内部事务信息</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866" w:hRule="atLeast"/>
          <w:jc w:val="center"/>
        </w:trPr>
        <w:tc>
          <w:tcPr>
            <w:tcW w:w="1004"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085"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930"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6.属于四类过程性信息</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866" w:hRule="atLeast"/>
          <w:jc w:val="center"/>
        </w:trPr>
        <w:tc>
          <w:tcPr>
            <w:tcW w:w="1004"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085"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930"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7.属于行政执法案卷</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866" w:hRule="atLeast"/>
          <w:jc w:val="center"/>
        </w:trPr>
        <w:tc>
          <w:tcPr>
            <w:tcW w:w="1004"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085"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930"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8.属于行政查询事项</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866" w:hRule="atLeast"/>
          <w:jc w:val="center"/>
        </w:trPr>
        <w:tc>
          <w:tcPr>
            <w:tcW w:w="1004"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085" w:type="dxa"/>
            <w:vMerge w:val="restart"/>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（四）无法提供</w:t>
            </w:r>
          </w:p>
        </w:tc>
        <w:tc>
          <w:tcPr>
            <w:tcW w:w="1930"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1.本机关不掌握相关政府信息</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866" w:hRule="atLeast"/>
          <w:jc w:val="center"/>
        </w:trPr>
        <w:tc>
          <w:tcPr>
            <w:tcW w:w="1004"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085"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930"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2.没有现成信息需要另行制作</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866" w:hRule="atLeast"/>
          <w:jc w:val="center"/>
        </w:trPr>
        <w:tc>
          <w:tcPr>
            <w:tcW w:w="1004"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085"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930"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3.补正后申请内容仍不明确</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866" w:hRule="atLeast"/>
          <w:jc w:val="center"/>
        </w:trPr>
        <w:tc>
          <w:tcPr>
            <w:tcW w:w="1004"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085" w:type="dxa"/>
            <w:vMerge w:val="restart"/>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（五）不予处理</w:t>
            </w:r>
          </w:p>
        </w:tc>
        <w:tc>
          <w:tcPr>
            <w:tcW w:w="1930"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1.信访举报投诉类申请</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468" w:hRule="atLeast"/>
          <w:jc w:val="center"/>
        </w:trPr>
        <w:tc>
          <w:tcPr>
            <w:tcW w:w="1004"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085"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930"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2.重复申请</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838" w:hRule="atLeast"/>
          <w:jc w:val="center"/>
        </w:trPr>
        <w:tc>
          <w:tcPr>
            <w:tcW w:w="1004"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085"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930"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3.要求提供公开出版物</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866" w:hRule="atLeast"/>
          <w:jc w:val="center"/>
        </w:trPr>
        <w:tc>
          <w:tcPr>
            <w:tcW w:w="1004"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085"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930"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4.无正当理由大量反复申请</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1283" w:hRule="atLeast"/>
          <w:jc w:val="center"/>
        </w:trPr>
        <w:tc>
          <w:tcPr>
            <w:tcW w:w="1004"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085"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1930"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5.要求行政机关确认或重新出具已获取信息</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484" w:hRule="atLeast"/>
          <w:jc w:val="center"/>
        </w:trPr>
        <w:tc>
          <w:tcPr>
            <w:tcW w:w="1004"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3015" w:type="dxa"/>
            <w:gridSpan w:val="2"/>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（六）其他处理</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449" w:hRule="atLeast"/>
          <w:jc w:val="center"/>
        </w:trPr>
        <w:tc>
          <w:tcPr>
            <w:tcW w:w="1004" w:type="dxa"/>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3015" w:type="dxa"/>
            <w:gridSpan w:val="2"/>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（七）总计</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512" w:hRule="atLeast"/>
          <w:jc w:val="center"/>
          <w:hidden/>
        </w:trPr>
        <w:tc>
          <w:tcPr>
            <w:tcW w:w="4019" w:type="dxa"/>
            <w:gridSpan w:val="3"/>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四、转结下年度继续办理</w:t>
            </w:r>
          </w:p>
        </w:tc>
        <w:tc>
          <w:tcPr>
            <w:tcW w:w="798"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76"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943"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42"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514" w:type="dxa"/>
            <w:tcBorders>
              <w:top w:val="single" w:color="auto" w:sz="8" w:space="0"/>
              <w:left w:val="single" w:color="auto" w:sz="8" w:space="0"/>
              <w:bottom w:val="single" w:color="auto" w:sz="8" w:space="0"/>
              <w:right w:val="single" w:color="auto" w:sz="8" w:space="0"/>
              <w:tl2br w:val="nil"/>
              <w:tr2bl w:val="nil"/>
            </w:tcBorders>
            <w:vAlign w:val="center"/>
          </w:tcPr>
          <w:p>
            <w:pP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bl>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黑体" w:eastAsia="黑体"/>
          <w:b w:val="0"/>
          <w:bCs w:val="0"/>
          <w:i w:val="0"/>
          <w:iCs w:val="0"/>
          <w:caps w:val="0"/>
          <w:smallCaps w:val="0"/>
          <w:vanish w:val="0"/>
          <w:color w:val="333333"/>
          <w:spacing w:val="0"/>
          <w:sz w:val="32"/>
          <w:szCs w:val="32"/>
        </w:rPr>
      </w:pPr>
      <w:r>
        <w:rPr>
          <w:rFonts w:hint="eastAsia" w:ascii="黑体" w:eastAsia="黑体"/>
          <w:b w:val="0"/>
          <w:bCs w:val="0"/>
          <w:i w:val="0"/>
          <w:iCs w:val="0"/>
          <w:caps w:val="0"/>
          <w:smallCaps w:val="0"/>
          <w:vanish w:val="0"/>
          <w:color w:val="333333"/>
          <w:spacing w:val="0"/>
          <w:sz w:val="32"/>
          <w:szCs w:val="32"/>
        </w:rPr>
        <w:t>四、政府信息公开行政复议、行政诉讼情况</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我中心未有此类情况。</w:t>
      </w:r>
    </w:p>
    <w:tbl>
      <w:tblPr>
        <w:tblStyle w:val="6"/>
        <w:tblW w:w="9932" w:type="dxa"/>
        <w:jc w:val="center"/>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61"/>
        <w:gridCol w:w="662"/>
        <w:gridCol w:w="662"/>
        <w:gridCol w:w="662"/>
        <w:gridCol w:w="663"/>
        <w:gridCol w:w="662"/>
        <w:gridCol w:w="662"/>
        <w:gridCol w:w="662"/>
        <w:gridCol w:w="662"/>
        <w:gridCol w:w="663"/>
        <w:gridCol w:w="662"/>
        <w:gridCol w:w="662"/>
        <w:gridCol w:w="662"/>
        <w:gridCol w:w="662"/>
        <w:gridCol w:w="663"/>
      </w:tblGrid>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1545" w:hRule="atLeast"/>
          <w:jc w:val="center"/>
          <w:hidden/>
        </w:trPr>
        <w:tc>
          <w:tcPr>
            <w:tcW w:w="3311" w:type="dxa"/>
            <w:gridSpan w:val="5"/>
            <w:vMerge w:val="restart"/>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行政复议</w:t>
            </w:r>
          </w:p>
        </w:tc>
        <w:tc>
          <w:tcPr>
            <w:tcW w:w="6621" w:type="dxa"/>
            <w:gridSpan w:val="10"/>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行政诉讼</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1545" w:hRule="atLeast"/>
          <w:jc w:val="center"/>
        </w:trPr>
        <w:tc>
          <w:tcPr>
            <w:tcW w:w="3310" w:type="dxa"/>
            <w:gridSpan w:val="5"/>
            <w:vMerge w:val="continue"/>
            <w:tcBorders>
              <w:top w:val="single" w:color="auto" w:sz="8" w:space="0"/>
              <w:left w:val="single" w:color="auto" w:sz="8" w:space="0"/>
              <w:bottom w:val="single" w:color="auto" w:sz="8" w:space="0"/>
              <w:right w:val="single" w:color="auto" w:sz="8" w:space="0"/>
              <w:tl2br w:val="nil"/>
              <w:tr2bl w:val="nil"/>
            </w:tcBorders>
            <w:vAlign w:val="center"/>
          </w:tcPr>
          <w:p/>
        </w:tc>
        <w:tc>
          <w:tcPr>
            <w:tcW w:w="3311" w:type="dxa"/>
            <w:gridSpan w:val="5"/>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未经复议直接起诉</w:t>
            </w:r>
          </w:p>
        </w:tc>
        <w:tc>
          <w:tcPr>
            <w:tcW w:w="3311" w:type="dxa"/>
            <w:gridSpan w:val="5"/>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复议后起诉</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2840" w:hRule="atLeast"/>
          <w:jc w:val="center"/>
          <w:hidden/>
        </w:trPr>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结果维持</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结果纠正</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其他结果</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尚未审结</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总计</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结果维持</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结果纠正</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其他结果</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尚未审结</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总计</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结果维持</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结果纠正</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其他结果</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尚未审结</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总计</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15" w:type="dxa"/>
            <w:left w:w="15" w:type="dxa"/>
            <w:bottom w:w="15" w:type="dxa"/>
            <w:right w:w="15" w:type="dxa"/>
          </w:tblCellMar>
        </w:tblPrEx>
        <w:trPr>
          <w:trHeight w:val="2028" w:hRule="atLeast"/>
          <w:jc w:val="center"/>
          <w:hidden/>
        </w:trPr>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c>
          <w:tcPr>
            <w:tcW w:w="662" w:type="dxa"/>
            <w:tcBorders>
              <w:top w:val="single" w:color="auto" w:sz="8" w:space="0"/>
              <w:left w:val="single" w:color="auto" w:sz="8" w:space="0"/>
              <w:bottom w:val="single" w:color="auto" w:sz="8" w:space="0"/>
              <w:right w:val="single" w:color="auto" w:sz="8" w:space="0"/>
              <w:tl2br w:val="nil"/>
              <w:tr2bl w:val="nil"/>
            </w:tcBorders>
            <w:vAlign w:val="center"/>
          </w:tcPr>
          <w:p>
            <w:pPr>
              <w:pBdr>
                <w:top w:val="none" w:color="auto" w:sz="0" w:space="0"/>
                <w:left w:val="none" w:color="auto" w:sz="0" w:space="0"/>
                <w:bottom w:val="none" w:color="auto" w:sz="0" w:space="0"/>
                <w:right w:val="none" w:color="auto" w:sz="0" w:space="0"/>
              </w:pBdr>
              <w:spacing w:before="0" w:after="0" w:line="600" w:lineRule="exact"/>
              <w:ind w:left="0" w:right="0"/>
              <w:jc w:val="center"/>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0</w:t>
            </w:r>
          </w:p>
        </w:tc>
      </w:tr>
    </w:tbl>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黑体" w:eastAsia="黑体"/>
          <w:b w:val="0"/>
          <w:bCs w:val="0"/>
          <w:i w:val="0"/>
          <w:iCs w:val="0"/>
          <w:caps w:val="0"/>
          <w:smallCaps w:val="0"/>
          <w:vanish w:val="0"/>
          <w:color w:val="333333"/>
          <w:spacing w:val="0"/>
          <w:sz w:val="32"/>
          <w:szCs w:val="32"/>
        </w:rPr>
      </w:pPr>
      <w:r>
        <w:rPr>
          <w:rFonts w:hint="eastAsia" w:ascii="黑体" w:eastAsia="黑体"/>
          <w:b w:val="0"/>
          <w:bCs w:val="0"/>
          <w:i w:val="0"/>
          <w:iCs w:val="0"/>
          <w:caps w:val="0"/>
          <w:smallCaps w:val="0"/>
          <w:vanish w:val="0"/>
          <w:color w:val="333333"/>
          <w:spacing w:val="0"/>
          <w:sz w:val="32"/>
          <w:szCs w:val="32"/>
        </w:rPr>
        <w:t>五、政府信息公开工作存在的主要问题及改进情况</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2019年，政府信息公开已作为我中心一项常态化工作，各项工作日趋规范，有序开展。但也存在信息质量等与上级要求和群众需求还有一定差距。主要表现为：信息公开的</w:t>
      </w:r>
      <w:r>
        <w:rPr>
          <w:rFonts w:hint="eastAsia" w:ascii="仿宋_GB2312" w:eastAsia="仿宋_GB2312"/>
          <w:b w:val="0"/>
          <w:bCs w:val="0"/>
          <w:i w:val="0"/>
          <w:iCs w:val="0"/>
          <w:caps w:val="0"/>
          <w:smallCaps w:val="0"/>
          <w:vanish w:val="0"/>
          <w:color w:val="333333"/>
          <w:spacing w:val="0"/>
          <w:sz w:val="32"/>
          <w:szCs w:val="32"/>
          <w:lang w:eastAsia="zh-CN"/>
        </w:rPr>
        <w:t>效率有待</w:t>
      </w:r>
      <w:r>
        <w:rPr>
          <w:rFonts w:hint="eastAsia" w:ascii="仿宋_GB2312" w:eastAsia="仿宋_GB2312"/>
          <w:b w:val="0"/>
          <w:bCs w:val="0"/>
          <w:i w:val="0"/>
          <w:iCs w:val="0"/>
          <w:caps w:val="0"/>
          <w:smallCaps w:val="0"/>
          <w:vanish w:val="0"/>
          <w:color w:val="333333"/>
          <w:spacing w:val="0"/>
          <w:sz w:val="32"/>
          <w:szCs w:val="32"/>
        </w:rPr>
        <w:t>提高，更新频率还可以</w:t>
      </w:r>
      <w:r>
        <w:rPr>
          <w:rFonts w:hint="eastAsia" w:ascii="仿宋_GB2312" w:eastAsia="仿宋_GB2312"/>
          <w:b w:val="0"/>
          <w:bCs w:val="0"/>
          <w:i w:val="0"/>
          <w:iCs w:val="0"/>
          <w:caps w:val="0"/>
          <w:smallCaps w:val="0"/>
          <w:vanish w:val="0"/>
          <w:color w:val="333333"/>
          <w:spacing w:val="0"/>
          <w:sz w:val="32"/>
          <w:szCs w:val="32"/>
          <w:lang w:eastAsia="zh-CN"/>
        </w:rPr>
        <w:t>增快</w:t>
      </w:r>
      <w:r>
        <w:rPr>
          <w:rFonts w:hint="eastAsia" w:ascii="仿宋_GB2312" w:eastAsia="仿宋_GB2312"/>
          <w:b w:val="0"/>
          <w:bCs w:val="0"/>
          <w:i w:val="0"/>
          <w:iCs w:val="0"/>
          <w:caps w:val="0"/>
          <w:smallCaps w:val="0"/>
          <w:vanish w:val="0"/>
          <w:color w:val="333333"/>
          <w:spacing w:val="0"/>
          <w:sz w:val="32"/>
          <w:szCs w:val="32"/>
        </w:rPr>
        <w:t>。针对上述存在的问题，我单位在今后工作中将采取如下措施：一是</w:t>
      </w:r>
      <w:r>
        <w:rPr>
          <w:rFonts w:hint="eastAsia" w:ascii="仿宋_GB2312" w:eastAsia="仿宋_GB2312"/>
          <w:b w:val="0"/>
          <w:bCs w:val="0"/>
          <w:i w:val="0"/>
          <w:iCs w:val="0"/>
          <w:caps w:val="0"/>
          <w:smallCaps w:val="0"/>
          <w:vanish w:val="0"/>
          <w:color w:val="333333"/>
          <w:spacing w:val="0"/>
          <w:sz w:val="32"/>
          <w:szCs w:val="32"/>
          <w:lang w:eastAsia="zh-CN"/>
        </w:rPr>
        <w:t>加强</w:t>
      </w:r>
      <w:r>
        <w:rPr>
          <w:rFonts w:hint="eastAsia" w:ascii="仿宋_GB2312" w:eastAsia="仿宋_GB2312"/>
          <w:b w:val="0"/>
          <w:bCs w:val="0"/>
          <w:i w:val="0"/>
          <w:iCs w:val="0"/>
          <w:caps w:val="0"/>
          <w:smallCaps w:val="0"/>
          <w:vanish w:val="0"/>
          <w:color w:val="333333"/>
          <w:spacing w:val="0"/>
          <w:sz w:val="32"/>
          <w:szCs w:val="32"/>
        </w:rPr>
        <w:t>思想认识。把政府信息公开工作当作一项重要的工作来对待，对照《条例》要求进一步明确信息公开的主体、内容等，使中心公开的信息和公众需要的信息有机统一起来。二是提升工作</w:t>
      </w:r>
      <w:r>
        <w:rPr>
          <w:rFonts w:hint="eastAsia" w:ascii="仿宋_GB2312" w:eastAsia="仿宋_GB2312"/>
          <w:b w:val="0"/>
          <w:bCs w:val="0"/>
          <w:i w:val="0"/>
          <w:iCs w:val="0"/>
          <w:caps w:val="0"/>
          <w:smallCaps w:val="0"/>
          <w:vanish w:val="0"/>
          <w:color w:val="333333"/>
          <w:spacing w:val="0"/>
          <w:sz w:val="32"/>
          <w:szCs w:val="32"/>
          <w:lang w:eastAsia="zh-CN"/>
        </w:rPr>
        <w:t>质</w:t>
      </w:r>
      <w:r>
        <w:rPr>
          <w:rFonts w:hint="eastAsia" w:ascii="仿宋_GB2312" w:eastAsia="仿宋_GB2312"/>
          <w:b w:val="0"/>
          <w:bCs w:val="0"/>
          <w:i w:val="0"/>
          <w:iCs w:val="0"/>
          <w:caps w:val="0"/>
          <w:smallCaps w:val="0"/>
          <w:vanish w:val="0"/>
          <w:color w:val="333333"/>
          <w:spacing w:val="0"/>
          <w:sz w:val="32"/>
          <w:szCs w:val="32"/>
        </w:rPr>
        <w:t>效。组织开展业务技能培训，加深对政府信息公开各项政策的理解落实，在学习和实践中，不断提升工作人员业务能力和工作水平，进一步拓展公开领域和范围，加快信息公开的频率、提高信息质量，使信息公开内容更加准确及时、真实有用</w:t>
      </w:r>
      <w:r>
        <w:rPr>
          <w:rFonts w:hint="eastAsia" w:ascii="仿宋_GB2312" w:eastAsia="仿宋_GB2312"/>
          <w:b w:val="0"/>
          <w:bCs w:val="0"/>
          <w:i w:val="0"/>
          <w:iCs w:val="0"/>
          <w:caps w:val="0"/>
          <w:smallCaps w:val="0"/>
          <w:vanish w:val="0"/>
          <w:color w:val="333333"/>
          <w:spacing w:val="0"/>
          <w:sz w:val="32"/>
          <w:szCs w:val="32"/>
          <w:lang w:eastAsia="zh-CN"/>
        </w:rPr>
        <w:t>，</w:t>
      </w:r>
      <w:bookmarkStart w:id="0" w:name="_GoBack"/>
      <w:bookmarkEnd w:id="0"/>
      <w:r>
        <w:rPr>
          <w:rFonts w:hint="eastAsia" w:ascii="仿宋_GB2312" w:eastAsia="仿宋_GB2312"/>
          <w:b w:val="0"/>
          <w:bCs w:val="0"/>
          <w:i w:val="0"/>
          <w:iCs w:val="0"/>
          <w:caps w:val="0"/>
          <w:smallCaps w:val="0"/>
          <w:vanish w:val="0"/>
          <w:color w:val="333333"/>
          <w:spacing w:val="0"/>
          <w:sz w:val="32"/>
          <w:szCs w:val="32"/>
        </w:rPr>
        <w:t>确保信息公开的时效性和准确性。</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黑体" w:eastAsia="黑体"/>
          <w:b w:val="0"/>
          <w:bCs w:val="0"/>
          <w:i w:val="0"/>
          <w:iCs w:val="0"/>
          <w:caps w:val="0"/>
          <w:smallCaps w:val="0"/>
          <w:vanish w:val="0"/>
          <w:color w:val="333333"/>
          <w:spacing w:val="0"/>
          <w:sz w:val="32"/>
          <w:szCs w:val="32"/>
        </w:rPr>
      </w:pPr>
      <w:r>
        <w:rPr>
          <w:rFonts w:hint="eastAsia" w:ascii="黑体" w:eastAsia="黑体"/>
          <w:b w:val="0"/>
          <w:bCs w:val="0"/>
          <w:i w:val="0"/>
          <w:iCs w:val="0"/>
          <w:caps w:val="0"/>
          <w:smallCaps w:val="0"/>
          <w:vanish w:val="0"/>
          <w:color w:val="333333"/>
          <w:spacing w:val="0"/>
          <w:sz w:val="32"/>
          <w:szCs w:val="32"/>
        </w:rPr>
        <w:t>六、其他需要报告的事项</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本年度无其他需要报告的事项。</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ascii="仿宋_GB2312" w:eastAsia="仿宋_GB2312"/>
          <w:b w:val="0"/>
          <w:bCs w:val="0"/>
          <w:i w:val="0"/>
          <w:iCs w:val="0"/>
          <w:caps w:val="0"/>
          <w:smallCaps w:val="0"/>
          <w:vanish w:val="0"/>
          <w:color w:val="333333"/>
          <w:spacing w:val="0"/>
          <w:sz w:val="32"/>
          <w:szCs w:val="32"/>
        </w:rPr>
      </w:pP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left"/>
        <w:rPr>
          <w:rFonts w:hint="eastAsia" w:ascii="仿宋_GB2312" w:eastAsia="仿宋_GB2312"/>
          <w:b w:val="0"/>
          <w:bCs w:val="0"/>
          <w:i w:val="0"/>
          <w:iCs w:val="0"/>
          <w:caps w:val="0"/>
          <w:smallCaps w:val="0"/>
          <w:vanish w:val="0"/>
          <w:color w:val="333333"/>
          <w:spacing w:val="0"/>
          <w:sz w:val="32"/>
          <w:szCs w:val="32"/>
        </w:rPr>
      </w:pPr>
    </w:p>
    <w:p>
      <w:pPr>
        <w:pStyle w:val="5"/>
        <w:pBdr>
          <w:top w:val="none" w:color="auto" w:sz="0" w:space="0"/>
          <w:left w:val="none" w:color="auto" w:sz="0" w:space="0"/>
          <w:bottom w:val="none" w:color="auto" w:sz="0" w:space="0"/>
          <w:right w:val="none" w:color="auto" w:sz="0" w:space="0"/>
        </w:pBdr>
        <w:shd w:val="clear" w:color="auto" w:fill="FFFFFF"/>
        <w:wordWrap w:val="0"/>
        <w:spacing w:before="0" w:beforeAutospacing="0" w:after="0" w:afterAutospacing="0" w:line="600" w:lineRule="exact"/>
        <w:ind w:left="0" w:right="0" w:firstLine="640" w:firstLineChars="200"/>
        <w:jc w:val="right"/>
        <w:rPr>
          <w:rFonts w:hint="eastAsia" w:ascii="仿宋_GB2312" w:eastAsia="仿宋_GB2312"/>
          <w:b w:val="0"/>
          <w:bCs w:val="0"/>
          <w:i w:val="0"/>
          <w:iCs w:val="0"/>
          <w:caps w:val="0"/>
          <w:smallCaps w:val="0"/>
          <w:vanish w:val="0"/>
          <w:color w:val="333333"/>
          <w:spacing w:val="0"/>
          <w:sz w:val="32"/>
          <w:szCs w:val="32"/>
        </w:rPr>
      </w:pPr>
      <w:r>
        <w:rPr>
          <w:rFonts w:hint="eastAsia" w:ascii="仿宋_GB2312" w:eastAsia="仿宋_GB2312"/>
          <w:b w:val="0"/>
          <w:bCs w:val="0"/>
          <w:i w:val="0"/>
          <w:iCs w:val="0"/>
          <w:caps w:val="0"/>
          <w:smallCaps w:val="0"/>
          <w:vanish w:val="0"/>
          <w:color w:val="333333"/>
          <w:spacing w:val="0"/>
          <w:sz w:val="32"/>
          <w:szCs w:val="32"/>
        </w:rPr>
        <w:t>宁波市北仑区住房资金管理中心</w:t>
      </w:r>
      <w:r>
        <w:rPr>
          <w:rFonts w:ascii="仿宋_GB2312" w:eastAsia="仿宋_GB2312"/>
          <w:b w:val="0"/>
          <w:bCs w:val="0"/>
          <w:i w:val="0"/>
          <w:iCs w:val="0"/>
          <w:caps w:val="0"/>
          <w:smallCaps w:val="0"/>
          <w:vanish w:val="0"/>
          <w:color w:val="333333"/>
          <w:spacing w:val="0"/>
          <w:sz w:val="32"/>
          <w:szCs w:val="32"/>
        </w:rPr>
        <w:t xml:space="preserve">    </w:t>
      </w:r>
    </w:p>
    <w:p>
      <w:pPr>
        <w:pStyle w:val="5"/>
        <w:pBdr>
          <w:top w:val="none" w:color="auto" w:sz="0" w:space="0"/>
          <w:left w:val="none" w:color="auto" w:sz="0" w:space="0"/>
          <w:bottom w:val="none" w:color="auto" w:sz="0" w:space="0"/>
          <w:right w:val="none" w:color="auto" w:sz="0" w:space="0"/>
        </w:pBdr>
        <w:shd w:val="clear" w:color="auto" w:fill="FFFFFF"/>
        <w:wordWrap w:val="0"/>
        <w:spacing w:before="0" w:beforeAutospacing="0" w:after="0" w:afterAutospacing="0" w:line="600" w:lineRule="exact"/>
        <w:ind w:left="0" w:right="0" w:firstLine="640" w:firstLineChars="200"/>
        <w:jc w:val="center"/>
        <w:rPr>
          <w:rFonts w:ascii="仿宋_GB2312" w:eastAsia="仿宋_GB2312"/>
          <w:b w:val="0"/>
          <w:bCs w:val="0"/>
          <w:i w:val="0"/>
          <w:iCs w:val="0"/>
          <w:caps w:val="0"/>
          <w:smallCaps w:val="0"/>
          <w:vanish w:val="0"/>
          <w:color w:val="333333"/>
          <w:spacing w:val="0"/>
          <w:sz w:val="32"/>
          <w:szCs w:val="32"/>
        </w:rPr>
      </w:pPr>
      <w:r>
        <w:rPr>
          <w:rFonts w:ascii="仿宋_GB2312" w:eastAsia="仿宋_GB2312"/>
          <w:b w:val="0"/>
          <w:bCs w:val="0"/>
          <w:i w:val="0"/>
          <w:iCs w:val="0"/>
          <w:caps w:val="0"/>
          <w:smallCaps w:val="0"/>
          <w:vanish w:val="0"/>
          <w:color w:val="333333"/>
          <w:spacing w:val="0"/>
          <w:sz w:val="32"/>
          <w:szCs w:val="32"/>
        </w:rPr>
        <w:t xml:space="preserve">                     </w:t>
      </w:r>
      <w:r>
        <w:rPr>
          <w:rFonts w:hint="eastAsia" w:ascii="仿宋_GB2312" w:eastAsia="仿宋_GB2312"/>
          <w:b w:val="0"/>
          <w:bCs w:val="0"/>
          <w:i w:val="0"/>
          <w:iCs w:val="0"/>
          <w:caps w:val="0"/>
          <w:smallCaps w:val="0"/>
          <w:vanish w:val="0"/>
          <w:color w:val="333333"/>
          <w:spacing w:val="0"/>
          <w:sz w:val="32"/>
          <w:szCs w:val="32"/>
        </w:rPr>
        <w:t>2020年1月15日</w:t>
      </w:r>
      <w:r>
        <w:rPr>
          <w:rFonts w:ascii="仿宋_GB2312" w:eastAsia="仿宋_GB2312"/>
          <w:b w:val="0"/>
          <w:bCs w:val="0"/>
          <w:i w:val="0"/>
          <w:iCs w:val="0"/>
          <w:caps w:val="0"/>
          <w:smallCaps w:val="0"/>
          <w:vanish w:val="0"/>
          <w:color w:val="333333"/>
          <w:spacing w:val="0"/>
          <w:sz w:val="32"/>
          <w:szCs w:val="32"/>
        </w:rPr>
        <w:t xml:space="preserve">         </w:t>
      </w: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right"/>
        <w:rPr>
          <w:rFonts w:ascii="仿宋_GB2312" w:eastAsia="仿宋_GB2312"/>
          <w:b w:val="0"/>
          <w:bCs w:val="0"/>
          <w:i w:val="0"/>
          <w:iCs w:val="0"/>
          <w:caps w:val="0"/>
          <w:smallCaps w:val="0"/>
          <w:vanish w:val="0"/>
          <w:color w:val="333333"/>
          <w:spacing w:val="0"/>
          <w:sz w:val="32"/>
          <w:szCs w:val="32"/>
        </w:rPr>
      </w:pP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right"/>
        <w:rPr>
          <w:rFonts w:ascii="仿宋_GB2312" w:eastAsia="仿宋_GB2312"/>
          <w:b w:val="0"/>
          <w:bCs w:val="0"/>
          <w:i w:val="0"/>
          <w:iCs w:val="0"/>
          <w:caps w:val="0"/>
          <w:smallCaps w:val="0"/>
          <w:vanish w:val="0"/>
          <w:color w:val="333333"/>
          <w:spacing w:val="0"/>
          <w:sz w:val="32"/>
          <w:szCs w:val="32"/>
        </w:rPr>
      </w:pP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right"/>
        <w:rPr>
          <w:rFonts w:ascii="仿宋_GB2312" w:eastAsia="仿宋_GB2312"/>
          <w:b w:val="0"/>
          <w:bCs w:val="0"/>
          <w:i w:val="0"/>
          <w:iCs w:val="0"/>
          <w:caps w:val="0"/>
          <w:smallCaps w:val="0"/>
          <w:vanish w:val="0"/>
          <w:color w:val="333333"/>
          <w:spacing w:val="0"/>
          <w:sz w:val="32"/>
          <w:szCs w:val="32"/>
        </w:rPr>
      </w:pPr>
    </w:p>
    <w:p>
      <w:pPr>
        <w:pStyle w:val="5"/>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exact"/>
        <w:ind w:left="0" w:right="0" w:firstLine="640" w:firstLineChars="200"/>
        <w:jc w:val="right"/>
        <w:rPr>
          <w:rFonts w:hint="eastAsia" w:ascii="仿宋_GB2312" w:eastAsia="仿宋_GB2312"/>
          <w:b w:val="0"/>
          <w:bCs w:val="0"/>
          <w:i w:val="0"/>
          <w:iCs w:val="0"/>
          <w:caps w:val="0"/>
          <w:smallCaps w:val="0"/>
          <w:vanish w:val="0"/>
          <w:color w:val="333333"/>
          <w:spacing w:val="0"/>
          <w:sz w:val="32"/>
          <w:szCs w:val="32"/>
        </w:rPr>
      </w:pPr>
    </w:p>
    <w:p>
      <w:pPr>
        <w:ind w:firstLine="480" w:firstLineChars="200"/>
      </w:pPr>
    </w:p>
    <w:sectPr>
      <w:pgSz w:w="11907" w:h="16840"/>
      <w:pgMar w:top="1871" w:right="1531" w:bottom="1531" w:left="1531" w:header="851" w:footer="992" w:gutter="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displayBackgroundShape w:val="1"/>
  <w:bordersDoNotSurroundHeader w:val="1"/>
  <w:bordersDoNotSurroundFooter w:val="1"/>
  <w:documentProtection w:enforcement="0"/>
  <w:defaultTabStop w:val="420"/>
  <w:drawingGridHorizontalSpacing w:val="120"/>
  <w:drawingGridVerticalSpacing w:val="163"/>
  <w:displayHorizontalDrawingGridEvery w:val="0"/>
  <w:displayVerticalDrawingGridEvery w:val="1"/>
  <w:characterSpacingControl w:val="compressPunctuation"/>
  <w:compat>
    <w:spaceForUL/>
    <w:balanceSingleByteDoubleByteWidth/>
    <w:ulTrailSpace/>
    <w:doNotExpandShiftReturn/>
    <w:adjustLineHeightInTable/>
    <w:useFELayout/>
    <w:useAltKinsokuLineBreakRules/>
    <w:splitPgBreakAndParaMark/>
    <w:compatSetting w:name="compatibilityMode" w:uri="http://schemas.microsoft.com/office/word" w:val="14"/>
  </w:compat>
  <w:rsids>
    <w:rsidRoot w:val="00000000"/>
    <w:rsid w:val="1D80064D"/>
    <w:rsid w:val="4EEC256F"/>
    <w:rsid w:val="7A3E3AE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pacing w:line="240" w:lineRule="auto"/>
      <w:jc w:val="left"/>
    </w:pPr>
    <w:rPr>
      <w:rFonts w:ascii="宋体" w:hAnsi="Times New Roman" w:eastAsia="宋体" w:cs="Times New Roman"/>
      <w:kern w:val="2"/>
      <w:sz w:val="24"/>
      <w:szCs w:val="21"/>
      <w:lang w:val="en-US" w:eastAsia="zh-CN" w:bidi="ar-SA"/>
    </w:rPr>
  </w:style>
  <w:style w:type="paragraph" w:styleId="2">
    <w:name w:val="heading 1"/>
    <w:basedOn w:val="1"/>
    <w:next w:val="1"/>
    <w:uiPriority w:val="0"/>
    <w:pPr>
      <w:keepNext/>
      <w:keepLines/>
      <w:widowControl w:val="0"/>
      <w:spacing w:before="340" w:after="330" w:line="578" w:lineRule="auto"/>
      <w:outlineLvl w:val="0"/>
    </w:pPr>
    <w:rPr>
      <w:b/>
      <w:kern w:val="44"/>
      <w:sz w:val="44"/>
    </w:rPr>
  </w:style>
  <w:style w:type="paragraph" w:styleId="3">
    <w:name w:val="heading 2"/>
    <w:basedOn w:val="1"/>
    <w:next w:val="1"/>
    <w:uiPriority w:val="0"/>
    <w:pPr>
      <w:keepNext/>
      <w:keepLines/>
      <w:widowControl w:val="0"/>
      <w:spacing w:before="260" w:after="260" w:line="415" w:lineRule="auto"/>
      <w:outlineLvl w:val="1"/>
    </w:pPr>
    <w:rPr>
      <w:rFonts w:ascii="Arial" w:hAnsi="Arial" w:eastAsia="黑体"/>
      <w:b/>
      <w:sz w:val="32"/>
    </w:rPr>
  </w:style>
  <w:style w:type="paragraph" w:styleId="4">
    <w:name w:val="heading 3"/>
    <w:basedOn w:val="1"/>
    <w:next w:val="1"/>
    <w:uiPriority w:val="0"/>
    <w:pPr>
      <w:keepNext/>
      <w:keepLines/>
      <w:widowControl w:val="0"/>
      <w:spacing w:before="260" w:after="260" w:line="415" w:lineRule="auto"/>
      <w:outlineLvl w:val="2"/>
    </w:pPr>
    <w:rPr>
      <w:b/>
      <w:sz w:val="32"/>
    </w:rPr>
  </w:style>
  <w:style w:type="character" w:default="1" w:styleId="7">
    <w:name w:val="Default Paragraph Font"/>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uiPriority w:val="0"/>
    <w:pPr>
      <w:widowControl w:val="0"/>
      <w:spacing w:before="100" w:beforeAutospacing="1" w:after="100" w:afterAutospacing="1" w:line="240" w:lineRule="auto"/>
      <w:jc w:val="left"/>
    </w:pPr>
    <w:rPr>
      <w:rFonts w:ascii="宋体" w:hAnsi="Times New Roman" w:eastAsia="宋体" w:cs="Times New Roman"/>
      <w:kern w:val="2"/>
      <w:sz w:val="24"/>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Microsoft</Company>
  <Pages>9</Pages>
  <Words>2611</Words>
  <Characters>2668</Characters>
  <Lines>457</Lines>
  <Paragraphs>308</Paragraphs>
  <TotalTime>20</TotalTime>
  <ScaleCrop>false</ScaleCrop>
  <LinksUpToDate>false</LinksUpToDate>
  <CharactersWithSpaces>2702</CharactersWithSpaces>
  <Application>WPS Office_11.8.2.9015_F1E327BC-269C-435d-A152-05C5408002CA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2020-03-20T00:52:00Z</dcterms:created>
  <dc:creator>Users</dc:creator>
  <cp:lastModifiedBy>Administrator</cp:lastModifiedBy>
  <dcterms:modified xsi:type="dcterms:W3CDTF">2020-12-08T03:28:21Z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