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center"/>
        <w:textAlignment w:val="auto"/>
        <w:outlineLvl w:val="0"/>
        <w:rPr>
          <w:rFonts w:hint="eastAsia" w:ascii="方正小标宋简体" w:hAnsi="方正小标宋简体" w:eastAsia="方正小标宋简体" w:cs="方正小标宋简体"/>
          <w:b w:val="0"/>
          <w:bCs w:val="0"/>
          <w:color w:val="auto"/>
          <w:sz w:val="44"/>
          <w:szCs w:val="44"/>
          <w:shd w:val="clear" w:color="auto" w:fill="FFFFFF"/>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center"/>
        <w:textAlignment w:val="auto"/>
        <w:outlineLvl w:val="0"/>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lang w:val="en-US" w:eastAsia="zh-CN"/>
        </w:rPr>
        <w:t>2021</w:t>
      </w:r>
      <w:r>
        <w:rPr>
          <w:rFonts w:hint="eastAsia" w:ascii="方正小标宋简体" w:hAnsi="方正小标宋简体" w:eastAsia="方正小标宋简体" w:cs="方正小标宋简体"/>
          <w:b w:val="0"/>
          <w:bCs w:val="0"/>
          <w:color w:val="auto"/>
          <w:sz w:val="44"/>
          <w:szCs w:val="44"/>
          <w:shd w:val="clear" w:color="auto" w:fill="FFFFFF"/>
        </w:rPr>
        <w:t>年度北仑区医疗保障局</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480"/>
        <w:jc w:val="center"/>
        <w:textAlignment w:val="auto"/>
        <w:outlineLvl w:val="0"/>
        <w:rPr>
          <w:rFonts w:hint="eastAsia" w:ascii="方正小标宋简体" w:hAnsi="方正小标宋简体" w:eastAsia="方正小标宋简体" w:cs="方正小标宋简体"/>
          <w:b w:val="0"/>
          <w:bCs w:val="0"/>
          <w:color w:val="auto"/>
          <w:sz w:val="44"/>
          <w:szCs w:val="44"/>
          <w:shd w:val="clear" w:color="auto" w:fill="FFFFFF"/>
        </w:rPr>
      </w:pPr>
      <w:r>
        <w:rPr>
          <w:rFonts w:hint="eastAsia" w:ascii="方正小标宋简体" w:hAnsi="方正小标宋简体" w:eastAsia="方正小标宋简体" w:cs="方正小标宋简体"/>
          <w:b w:val="0"/>
          <w:bCs w:val="0"/>
          <w:color w:val="auto"/>
          <w:sz w:val="44"/>
          <w:szCs w:val="44"/>
          <w:shd w:val="clear" w:color="auto" w:fill="FFFFFF"/>
        </w:rPr>
        <w:t>政府信息公开工作年度报告</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0"/>
        <w:rPr>
          <w:rFonts w:hint="eastAsia" w:ascii="楷体_GB2312" w:hAnsi="仿宋" w:eastAsia="楷体_GB2312"/>
          <w:color w:val="333333"/>
          <w:sz w:val="32"/>
          <w:szCs w:val="32"/>
          <w:shd w:val="clear" w:color="auto" w:fill="FFFFFF"/>
        </w:rPr>
      </w:pP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0"/>
        <w:rPr>
          <w:rFonts w:hint="eastAsia" w:ascii="黑体" w:hAnsi="黑体" w:eastAsia="黑体" w:cs="黑体"/>
          <w:b w:val="0"/>
          <w:bCs w:val="0"/>
          <w:i w:val="0"/>
          <w:caps w:val="0"/>
          <w:color w:val="auto"/>
          <w:spacing w:val="0"/>
          <w:sz w:val="32"/>
          <w:szCs w:val="32"/>
          <w:shd w:val="clear" w:fill="FFFFFF"/>
          <w:lang w:eastAsia="zh-CN"/>
        </w:rPr>
      </w:pPr>
      <w:r>
        <w:rPr>
          <w:rFonts w:hint="eastAsia" w:ascii="楷体_GB2312" w:hAnsi="仿宋" w:eastAsia="楷体_GB2312"/>
          <w:color w:val="333333"/>
          <w:sz w:val="32"/>
          <w:szCs w:val="32"/>
          <w:shd w:val="clear" w:color="auto" w:fill="FFFFFF"/>
        </w:rPr>
        <w:t>本报告是根据《中华人民共和国政府信息公开条例》（国务院令第711号）和《国务院办公厅政府信息与政务公开办公室关于政府信息公开工作年度报告有关事项的通知》（国办公开办函〔2019〕60号）</w:t>
      </w:r>
      <w:r>
        <w:rPr>
          <w:rFonts w:hint="eastAsia" w:ascii="楷体_GB2312" w:hAnsi="仿宋" w:eastAsia="楷体_GB2312"/>
          <w:color w:val="333333"/>
          <w:sz w:val="32"/>
          <w:szCs w:val="32"/>
          <w:shd w:val="clear" w:color="auto" w:fill="FFFFFF"/>
          <w:lang w:eastAsia="zh-CN"/>
        </w:rPr>
        <w:t>、</w:t>
      </w:r>
      <w:r>
        <w:rPr>
          <w:rFonts w:hint="eastAsia" w:ascii="楷体_GB2312" w:hAnsi="楷体_GB2312" w:eastAsia="楷体_GB2312" w:cs="楷体_GB2312"/>
          <w:b w:val="0"/>
          <w:bCs/>
          <w:color w:val="333333"/>
          <w:sz w:val="32"/>
          <w:szCs w:val="32"/>
        </w:rPr>
        <w:t>国务院办公厅政府信息与政务公开办公室关于印发《中华人民共和国政府信息公开工作年度报告格式》的通知</w:t>
      </w:r>
      <w:r>
        <w:rPr>
          <w:rFonts w:hint="eastAsia" w:ascii="楷体_GB2312" w:hAnsi="楷体_GB2312" w:eastAsia="楷体_GB2312" w:cs="楷体_GB2312"/>
          <w:b w:val="0"/>
          <w:bCs/>
          <w:color w:val="333333"/>
          <w:sz w:val="32"/>
          <w:szCs w:val="32"/>
          <w:lang w:eastAsia="zh-CN"/>
        </w:rPr>
        <w:t>（</w:t>
      </w:r>
      <w:r>
        <w:rPr>
          <w:rFonts w:hint="eastAsia" w:ascii="楷体_GB2312" w:hAnsi="楷体_GB2312" w:eastAsia="楷体_GB2312" w:cs="楷体_GB2312"/>
          <w:b w:val="0"/>
          <w:bCs/>
          <w:color w:val="333333"/>
          <w:sz w:val="32"/>
          <w:szCs w:val="32"/>
        </w:rPr>
        <w:t>国办公开办函〔2021〕30号</w:t>
      </w:r>
      <w:r>
        <w:rPr>
          <w:rFonts w:hint="eastAsia" w:ascii="楷体_GB2312" w:hAnsi="楷体_GB2312" w:eastAsia="楷体_GB2312" w:cs="楷体_GB2312"/>
          <w:b w:val="0"/>
          <w:bCs/>
          <w:color w:val="333333"/>
          <w:sz w:val="32"/>
          <w:szCs w:val="32"/>
          <w:lang w:eastAsia="zh-CN"/>
        </w:rPr>
        <w:t>）</w:t>
      </w:r>
      <w:r>
        <w:rPr>
          <w:rFonts w:hint="eastAsia" w:ascii="楷体_GB2312" w:hAnsi="仿宋" w:eastAsia="楷体_GB2312"/>
          <w:color w:val="333333"/>
          <w:sz w:val="32"/>
          <w:szCs w:val="32"/>
          <w:shd w:val="clear" w:color="auto" w:fill="FFFFFF"/>
        </w:rPr>
        <w:t>文件要求编制。全文包含总体情况、行政机关主动公开政府信息情况、行政机关收到和处理政府信息公开申请情况、因政府信息公开工作被申请行政复议、提起行政诉讼情况、政府信息公开工作存在的主要问题及改进情况、其他需要报告的事项六个方面。</w:t>
      </w:r>
      <w:r>
        <w:rPr>
          <w:rFonts w:hint="default" w:ascii="楷体_GB2312" w:hAnsi="仿宋" w:eastAsia="楷体_GB2312"/>
          <w:color w:val="333333"/>
          <w:sz w:val="32"/>
          <w:szCs w:val="32"/>
          <w:shd w:val="clear" w:color="auto" w:fill="FFFFFF"/>
        </w:rPr>
        <w:t>本报告所列数据的统计期限自2021年1月1日起至12月31日止。</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outlineLvl w:val="0"/>
        <w:rPr>
          <w:rFonts w:hint="eastAsia" w:ascii="黑体" w:hAnsi="黑体" w:eastAsia="黑体" w:cs="黑体"/>
          <w:b w:val="0"/>
          <w:bCs w:val="0"/>
          <w:i w:val="0"/>
          <w:caps w:val="0"/>
          <w:color w:val="auto"/>
          <w:spacing w:val="0"/>
          <w:sz w:val="32"/>
          <w:szCs w:val="32"/>
          <w:shd w:val="clear" w:fill="FFFFFF"/>
          <w:lang w:eastAsia="zh-CN"/>
        </w:rPr>
      </w:pPr>
      <w:r>
        <w:rPr>
          <w:rFonts w:hint="eastAsia" w:ascii="黑体" w:hAnsi="黑体" w:eastAsia="黑体" w:cs="黑体"/>
          <w:b w:val="0"/>
          <w:bCs w:val="0"/>
          <w:i w:val="0"/>
          <w:caps w:val="0"/>
          <w:color w:val="auto"/>
          <w:spacing w:val="0"/>
          <w:sz w:val="32"/>
          <w:szCs w:val="32"/>
          <w:shd w:val="clear" w:fill="FFFFFF"/>
          <w:lang w:eastAsia="zh-CN"/>
        </w:rPr>
        <w:t>一、总体情况</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2021年北仑区医疗保障局根据区政府的统一部署安排，结合工作实际，不断提升政务公开质效，确保公开信息的完整性、准确性、及时性，推动政务信息公开工作有序开展。</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（一）健全工作体系。</w:t>
      </w:r>
      <w:r>
        <w:rPr>
          <w:rFonts w:hint="eastAsia" w:ascii="仿宋_GB2312" w:hAnsi="仿宋_GB2312" w:eastAsia="仿宋_GB2312" w:cs="仿宋_GB2312"/>
          <w:i w:val="0"/>
          <w:caps w:val="0"/>
          <w:color w:val="auto"/>
          <w:spacing w:val="0"/>
          <w:sz w:val="32"/>
          <w:szCs w:val="32"/>
          <w:shd w:val="clear" w:fill="FFFFFF"/>
          <w:lang w:val="en-US" w:eastAsia="zh-CN"/>
        </w:rPr>
        <w:t>局长带头成立北仑区医保局政府信息公开工作领导小组，配齐配强工作力量，优化职责分工，压实责任主体，统筹经费保障。集中研讨药品集采、城乡居民医保参保、医疗救助、生育报销等民生热点；持续推进电子医保凭证推广、医保基金监管智慧云平台建设、“最多跑一次”改革、长期护理保险制度试点等信息公开。聚焦重点民生领域，主要负责人做好“第一解读人”，带领本单位全体成员对公开医保信息做好深度解读、延伸解读。</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（二）完善平台管理。</w:t>
      </w:r>
      <w:r>
        <w:rPr>
          <w:rFonts w:hint="eastAsia" w:ascii="仿宋_GB2312" w:hAnsi="仿宋_GB2312" w:eastAsia="仿宋_GB2312" w:cs="仿宋_GB2312"/>
          <w:i w:val="0"/>
          <w:caps w:val="0"/>
          <w:color w:val="auto"/>
          <w:spacing w:val="0"/>
          <w:sz w:val="32"/>
          <w:szCs w:val="32"/>
          <w:shd w:val="clear" w:fill="FFFFFF"/>
          <w:lang w:val="en-US" w:eastAsia="zh-CN"/>
        </w:rPr>
        <w:t>不断优化栏目页面设置，适时调整公开指南、公开机构等原设栏目内容，在“重大民生信息”板块下增设“医疗卫生”二级栏目,按要求公布医保药品目录（支付标准），有调整及时更新；对信息平台做好日常管理和维护，确保各栏目公开信息按照规定时间节点及时发布、动态更新。目前，我局已开设一级栏目11个，二级栏目12个。</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楷体" w:hAnsi="楷体" w:eastAsia="楷体" w:cs="楷体"/>
          <w:i w:val="0"/>
          <w:caps w:val="0"/>
          <w:color w:val="auto"/>
          <w:spacing w:val="0"/>
          <w:sz w:val="32"/>
          <w:szCs w:val="32"/>
          <w:shd w:val="clear" w:fill="FFFFFF"/>
          <w:lang w:val="en-US" w:eastAsia="zh-CN"/>
        </w:rPr>
        <w:t>（三）强化公开监督。</w:t>
      </w:r>
      <w:r>
        <w:rPr>
          <w:rFonts w:hint="eastAsia" w:ascii="仿宋_GB2312" w:hAnsi="仿宋_GB2312" w:eastAsia="仿宋_GB2312" w:cs="仿宋_GB2312"/>
          <w:i w:val="0"/>
          <w:caps w:val="0"/>
          <w:color w:val="auto"/>
          <w:spacing w:val="0"/>
          <w:sz w:val="32"/>
          <w:szCs w:val="32"/>
          <w:shd w:val="clear" w:fill="FFFFFF"/>
          <w:lang w:val="en-US" w:eastAsia="zh-CN"/>
        </w:rPr>
        <w:t>做好内部监督，对法定不予公开条款坚持最小化适用原则，切实做到公开为常态、不公开为例外。加强源头管理，严格审核审批环节，发现问题，及时解决，切实提升信息管理水平；自觉接受公众监督，利用政务信息公开网站、“12345”政务热线，及时发现、搜集、处理、回应社会关切热点，认真落实首问责任制，提升群众满意度。</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i w:val="0"/>
          <w:caps w:val="0"/>
          <w:color w:val="auto"/>
          <w:spacing w:val="0"/>
          <w:sz w:val="36"/>
          <w:szCs w:val="36"/>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截止2021年12月31日，区医保局主动公开政府信息数共116条。全年没有发生因政务公开工作被追究责任的情况。</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主动公开政府信息情况</w:t>
      </w:r>
    </w:p>
    <w:tbl>
      <w:tblPr>
        <w:tblStyle w:val="5"/>
        <w:tblW w:w="8754"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189"/>
        <w:gridCol w:w="2188"/>
        <w:gridCol w:w="2189"/>
        <w:gridCol w:w="21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8754" w:type="dxa"/>
            <w:gridSpan w:val="4"/>
            <w:tcBorders>
              <w:top w:val="single" w:color="auto" w:sz="8" w:space="0"/>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第二十条第（一）项</w:t>
            </w:r>
            <w:bookmarkStart w:id="0" w:name="_GoBack"/>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color w:val="333333"/>
                <w:kern w:val="0"/>
                <w:sz w:val="20"/>
                <w:szCs w:val="20"/>
                <w:lang w:val="en-US" w:eastAsia="zh-CN" w:bidi="ar"/>
              </w:rPr>
              <w:t>制发件数</w:t>
            </w:r>
          </w:p>
        </w:tc>
        <w:tc>
          <w:tcPr>
            <w:tcW w:w="2189" w:type="dxa"/>
            <w:tcBorders>
              <w:top w:val="single" w:color="auto" w:sz="8" w:space="0"/>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本年废止件数</w:t>
            </w:r>
          </w:p>
        </w:tc>
        <w:tc>
          <w:tcPr>
            <w:tcW w:w="2188" w:type="dxa"/>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color w:val="333333"/>
                <w:kern w:val="0"/>
                <w:sz w:val="20"/>
                <w:szCs w:val="20"/>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规章</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lang w:val="en-US" w:eastAsia="zh-CN"/>
              </w:rPr>
            </w:pPr>
            <w:r>
              <w:rPr>
                <w:rFonts w:hint="eastAsia"/>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lang w:val="en-US" w:eastAsia="zh-CN"/>
              </w:rPr>
            </w:pPr>
            <w:r>
              <w:rPr>
                <w:rFonts w:hint="eastAsia"/>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行政规范性文件</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widowControl/>
              <w:jc w:val="center"/>
            </w:pPr>
            <w:r>
              <w:rPr>
                <w:rFonts w:hint="eastAsia"/>
                <w:lang w:val="en-US" w:eastAsia="zh-CN"/>
              </w:rPr>
              <w:t>0</w:t>
            </w:r>
          </w:p>
        </w:tc>
        <w:tc>
          <w:tcPr>
            <w:tcW w:w="2189" w:type="dxa"/>
            <w:tcBorders>
              <w:top w:val="nil"/>
              <w:left w:val="nil"/>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lang w:val="en-US" w:eastAsia="zh-CN"/>
              </w:rPr>
            </w:pPr>
            <w:r>
              <w:rPr>
                <w:rFonts w:hint="eastAsia"/>
                <w:lang w:val="en-US" w:eastAsia="zh-CN"/>
              </w:rPr>
              <w:t>0</w:t>
            </w:r>
          </w:p>
        </w:tc>
        <w:tc>
          <w:tcPr>
            <w:tcW w:w="2188" w:type="dxa"/>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eastAsia"/>
                <w:lang w:val="en-US" w:eastAsia="zh-CN"/>
              </w:rPr>
            </w:pPr>
            <w:r>
              <w:rPr>
                <w:rFonts w:hint="eastAsia"/>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single" w:color="auto" w:sz="8" w:space="0"/>
              <w:left w:val="single" w:color="auto" w:sz="8" w:space="0"/>
              <w:bottom w:val="single" w:color="auto" w:sz="8" w:space="0"/>
              <w:right w:val="single" w:color="auto" w:sz="4"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行政许可</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rPr>
                <w:rFonts w:hint="default" w:eastAsiaTheme="minorEastAsia"/>
                <w:lang w:val="en-US" w:eastAsia="zh-CN"/>
              </w:rPr>
            </w:pPr>
            <w:r>
              <w:rPr>
                <w:rFonts w:hint="eastAsia"/>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single" w:color="auto" w:sz="8" w:space="0"/>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行政处罚</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行政强制</w:t>
            </w:r>
          </w:p>
        </w:tc>
        <w:tc>
          <w:tcPr>
            <w:tcW w:w="6565" w:type="dxa"/>
            <w:gridSpan w:val="3"/>
            <w:tcBorders>
              <w:top w:val="nil"/>
              <w:left w:val="nil"/>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8754" w:type="dxa"/>
            <w:gridSpan w:val="4"/>
            <w:tcBorders>
              <w:top w:val="nil"/>
              <w:left w:val="single" w:color="auto" w:sz="8" w:space="0"/>
              <w:bottom w:val="single" w:color="auto" w:sz="8" w:space="0"/>
              <w:right w:val="single" w:color="auto" w:sz="8" w:space="0"/>
            </w:tcBorders>
            <w:shd w:val="clear" w:color="auto" w:fill="C6D9F1"/>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信息内容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0" w:hRule="atLeast"/>
          <w:jc w:val="center"/>
        </w:trPr>
        <w:tc>
          <w:tcPr>
            <w:tcW w:w="2189" w:type="dxa"/>
            <w:tcBorders>
              <w:top w:val="nil"/>
              <w:left w:val="single" w:color="auto" w:sz="8" w:space="0"/>
              <w:bottom w:val="single" w:color="auto" w:sz="8" w:space="0"/>
              <w:right w:val="single" w:color="auto" w:sz="8" w:space="0"/>
            </w:tcBorders>
            <w:noWrap w:val="0"/>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right="0"/>
              <w:jc w:val="left"/>
            </w:pPr>
            <w:r>
              <w:rPr>
                <w:rFonts w:hint="eastAsia" w:ascii="宋体" w:hAnsi="宋体" w:eastAsia="宋体" w:cs="宋体"/>
                <w:color w:val="000000"/>
                <w:kern w:val="0"/>
                <w:sz w:val="20"/>
                <w:szCs w:val="20"/>
                <w:lang w:val="en-US" w:eastAsia="zh-CN" w:bidi="ar"/>
              </w:rPr>
              <w:t>行政事业性收费</w:t>
            </w:r>
          </w:p>
        </w:tc>
        <w:tc>
          <w:tcPr>
            <w:tcW w:w="6565" w:type="dxa"/>
            <w:gridSpan w:val="3"/>
            <w:tcBorders>
              <w:top w:val="nil"/>
              <w:left w:val="nil"/>
              <w:bottom w:val="single" w:color="auto" w:sz="8" w:space="0"/>
              <w:right w:val="single" w:color="000000" w:sz="8" w:space="0"/>
            </w:tcBorders>
            <w:noWrap w:val="0"/>
            <w:tcMar>
              <w:left w:w="57" w:type="dxa"/>
              <w:right w:w="57" w:type="dxa"/>
            </w:tcMar>
            <w:vAlign w:val="center"/>
          </w:tcPr>
          <w:p>
            <w:pPr>
              <w:jc w:val="center"/>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outlineLvl w:val="0"/>
        <w:rPr>
          <w:rFonts w:hint="eastAsia" w:ascii="黑体" w:hAnsi="黑体" w:eastAsia="黑体" w:cs="黑体"/>
          <w:i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三、收到和处理政府信息公开申请情况</w:t>
      </w:r>
    </w:p>
    <w:tbl>
      <w:tblPr>
        <w:tblStyle w:val="5"/>
        <w:tblW w:w="8805"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
      <w:tblGrid>
        <w:gridCol w:w="682"/>
        <w:gridCol w:w="833"/>
        <w:gridCol w:w="2956"/>
        <w:gridCol w:w="619"/>
        <w:gridCol w:w="619"/>
        <w:gridCol w:w="619"/>
        <w:gridCol w:w="620"/>
        <w:gridCol w:w="619"/>
        <w:gridCol w:w="619"/>
        <w:gridCol w:w="619"/>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restart"/>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楷体" w:hAnsi="楷体" w:eastAsia="楷体" w:cs="楷体"/>
                <w:color w:val="333333"/>
                <w:kern w:val="0"/>
                <w:sz w:val="20"/>
                <w:szCs w:val="20"/>
                <w:lang w:val="en-US" w:eastAsia="zh-CN" w:bidi="ar"/>
              </w:rPr>
              <w:t>（本列数据的勾稽关系为：第一项加第二项之和，等于第三项加第四项之和）</w:t>
            </w:r>
          </w:p>
        </w:tc>
        <w:tc>
          <w:tcPr>
            <w:tcW w:w="4334" w:type="dxa"/>
            <w:gridSpan w:val="7"/>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restart"/>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自然人</w:t>
            </w:r>
          </w:p>
        </w:tc>
        <w:tc>
          <w:tcPr>
            <w:tcW w:w="3096" w:type="dxa"/>
            <w:gridSpan w:val="5"/>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法人或其他组织</w:t>
            </w:r>
          </w:p>
        </w:tc>
        <w:tc>
          <w:tcPr>
            <w:tcW w:w="619" w:type="dxa"/>
            <w:vMerge w:val="restart"/>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vMerge w:val="continue"/>
            <w:tcBorders>
              <w:top w:val="single" w:color="auto" w:sz="8" w:space="0"/>
              <w:left w:val="single" w:color="auto" w:sz="8" w:space="0"/>
              <w:bottom w:val="outset" w:color="auto" w:sz="6" w:space="0"/>
              <w:right w:val="single" w:color="auto" w:sz="8" w:space="0"/>
            </w:tcBorders>
            <w:noWrap w:val="0"/>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vMerge w:val="continue"/>
            <w:tcBorders>
              <w:top w:val="nil"/>
              <w:left w:val="nil"/>
              <w:bottom w:val="single" w:color="auto" w:sz="8"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企业</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机构</w:t>
            </w:r>
          </w:p>
        </w:tc>
        <w:tc>
          <w:tcPr>
            <w:tcW w:w="620"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社会公益组织</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法律服务机构</w:t>
            </w:r>
          </w:p>
        </w:tc>
        <w:tc>
          <w:tcPr>
            <w:tcW w:w="619" w:type="dxa"/>
            <w:tcBorders>
              <w:top w:val="single" w:color="auto" w:sz="8" w:space="0"/>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宋体" w:hAnsi="宋体" w:eastAsia="宋体" w:cs="宋体"/>
                <w:color w:val="333333"/>
                <w:kern w:val="0"/>
                <w:sz w:val="20"/>
                <w:szCs w:val="20"/>
                <w:lang w:val="en-US" w:eastAsia="zh-CN" w:bidi="ar"/>
              </w:rPr>
              <w:t>其他</w:t>
            </w:r>
          </w:p>
        </w:tc>
        <w:tc>
          <w:tcPr>
            <w:tcW w:w="619" w:type="dxa"/>
            <w:vMerge w:val="continue"/>
            <w:tcBorders>
              <w:top w:val="single" w:color="auto" w:sz="8"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一、本年新收政府信息公开申请数量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二、上年结转政府信息公开申请数量</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restart"/>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三、本年度办理结果</w:t>
            </w: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（一）予以公开</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lang w:val="en-US"/>
              </w:rPr>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pPr>
            <w:r>
              <w:rPr>
                <w:rFonts w:hint="eastAsia" w:ascii="Calibri" w:hAnsi="Calibri" w:eastAsia="宋体" w:cs="Calibri"/>
                <w:color w:val="333333"/>
                <w:kern w:val="0"/>
                <w:sz w:val="20"/>
                <w:szCs w:val="20"/>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（二）部分公开</w:t>
            </w:r>
            <w:r>
              <w:rPr>
                <w:rFonts w:hint="eastAsia" w:ascii="楷体" w:hAnsi="楷体" w:eastAsia="楷体" w:cs="楷体"/>
                <w:color w:val="333333"/>
                <w:kern w:val="0"/>
                <w:sz w:val="20"/>
                <w:szCs w:val="20"/>
                <w:lang w:val="en-US" w:eastAsia="zh-CN" w:bidi="ar"/>
              </w:rPr>
              <w:t>（区分处理的，只计这一情形，不计其他情形）</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（三）不予公开</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1.属于国家秘密</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2.其他法律行政法规禁止公开</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3.危及“三安全一稳定”</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4.保护第三方合法权益</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5.属于三类内部事务信息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6.属于四类过程性信息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7.属于行政执法案卷</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8.属于行政查询事项</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（四）无法提供</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1.本机关不掌握相关政府信息</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2.没有现成信息需要另行制作</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3.补正后申请内容仍不明确</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（五）不予处理</w:t>
            </w:r>
          </w:p>
        </w:tc>
        <w:tc>
          <w:tcPr>
            <w:tcW w:w="2956"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1.信访举报投诉类申请</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2.重复申请</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3.要求提供公开出版物</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4.无正当理由大量反复申请</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single" w:color="auto" w:sz="8" w:space="0"/>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trHeight w:val="779" w:hRule="atLeast"/>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nil"/>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5.要求行政机关确认或重新出具已获取信息</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outset" w:color="auto" w:sz="6"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restart"/>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（六）其他处理</w:t>
            </w: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1.申请人无正当理由逾期不补正、行政机关不再处理其政府信息公开申请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both"/>
              <w:textAlignment w:val="auto"/>
            </w:pPr>
            <w:r>
              <w:rPr>
                <w:rFonts w:hint="eastAsia" w:ascii="宋体" w:hAnsi="宋体" w:eastAsia="宋体" w:cs="宋体"/>
                <w:color w:val="333333"/>
                <w:kern w:val="0"/>
                <w:sz w:val="20"/>
                <w:szCs w:val="20"/>
                <w:lang w:val="en-US" w:eastAsia="zh-CN" w:bidi="ar"/>
              </w:rPr>
              <w:t>2.申请人逾期未按收费通知要求缴纳费用、行政机关不再处理其政府信息公开申请</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833" w:type="dxa"/>
            <w:vMerge w:val="continue"/>
            <w:tcBorders>
              <w:top w:val="outset" w:color="auto" w:sz="6" w:space="0"/>
              <w:left w:val="nil"/>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2956"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3.其他</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682" w:type="dxa"/>
            <w:vMerge w:val="continue"/>
            <w:tcBorders>
              <w:top w:val="nil"/>
              <w:left w:val="single" w:color="auto" w:sz="8" w:space="0"/>
              <w:bottom w:val="outset" w:color="auto" w:sz="6" w:space="0"/>
              <w:right w:val="single" w:color="auto" w:sz="8"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auto"/>
              <w:rPr>
                <w:rFonts w:hint="eastAsia" w:ascii="宋体" w:hAnsi="宋体" w:eastAsia="宋体" w:cs="宋体"/>
                <w:color w:val="333333"/>
                <w:sz w:val="21"/>
                <w:szCs w:val="21"/>
              </w:rPr>
            </w:pPr>
          </w:p>
        </w:tc>
        <w:tc>
          <w:tcPr>
            <w:tcW w:w="3789" w:type="dxa"/>
            <w:gridSpan w:val="2"/>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（七）总计</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firstLine="210" w:firstLineChars="100"/>
              <w:jc w:val="both"/>
              <w:textAlignment w:val="auto"/>
              <w:rPr>
                <w:rFonts w:hint="default"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57" w:type="dxa"/>
            <w:bottom w:w="0" w:type="dxa"/>
            <w:right w:w="57" w:type="dxa"/>
          </w:tblCellMar>
        </w:tblPrEx>
        <w:trPr>
          <w:jc w:val="center"/>
        </w:trPr>
        <w:tc>
          <w:tcPr>
            <w:tcW w:w="4471" w:type="dxa"/>
            <w:gridSpan w:val="3"/>
            <w:tcBorders>
              <w:top w:val="nil"/>
              <w:left w:val="single" w:color="auto" w:sz="8" w:space="0"/>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left"/>
              <w:textAlignment w:val="auto"/>
            </w:pPr>
            <w:r>
              <w:rPr>
                <w:rFonts w:hint="eastAsia" w:ascii="宋体" w:hAnsi="宋体" w:eastAsia="宋体" w:cs="宋体"/>
                <w:color w:val="333333"/>
                <w:kern w:val="0"/>
                <w:sz w:val="20"/>
                <w:szCs w:val="20"/>
                <w:lang w:val="en-US" w:eastAsia="zh-CN" w:bidi="ar"/>
              </w:rPr>
              <w:t>四、结转下年度继续办理</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20"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eastAsia"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Lines="0" w:afterAutospacing="0" w:line="300" w:lineRule="exact"/>
              <w:ind w:left="0" w:right="0"/>
              <w:jc w:val="center"/>
              <w:textAlignment w:val="auto"/>
              <w:rPr>
                <w:rFonts w:hint="default" w:eastAsiaTheme="minorEastAsia"/>
                <w:lang w:val="en-US" w:eastAsia="zh-CN"/>
              </w:rPr>
            </w:pPr>
            <w:r>
              <w:rPr>
                <w:rFonts w:hint="eastAsia"/>
                <w:lang w:val="en-US" w:eastAsia="zh-CN"/>
              </w:rPr>
              <w:t>0</w:t>
            </w:r>
          </w:p>
        </w:tc>
        <w:tc>
          <w:tcPr>
            <w:tcW w:w="619" w:type="dxa"/>
            <w:tcBorders>
              <w:top w:val="nil"/>
              <w:left w:val="nil"/>
              <w:bottom w:val="single" w:color="auto" w:sz="8" w:space="0"/>
              <w:right w:val="single" w:color="auto" w:sz="8" w:space="0"/>
            </w:tcBorders>
            <w:noWrap w:val="0"/>
            <w:vAlign w:val="top"/>
          </w:tcPr>
          <w:p>
            <w:pPr>
              <w:keepNext w:val="0"/>
              <w:keepLines w:val="0"/>
              <w:pageBreakBefore w:val="0"/>
              <w:widowControl/>
              <w:kinsoku/>
              <w:wordWrap/>
              <w:overflowPunct/>
              <w:topLinePunct w:val="0"/>
              <w:autoSpaceDE/>
              <w:autoSpaceDN/>
              <w:bidi w:val="0"/>
              <w:adjustRightInd/>
              <w:snapToGrid/>
              <w:spacing w:line="300" w:lineRule="exact"/>
              <w:ind w:firstLine="210" w:firstLineChars="100"/>
              <w:jc w:val="left"/>
              <w:textAlignment w:val="auto"/>
              <w:rPr>
                <w:rFonts w:hint="eastAsia" w:ascii="宋体" w:hAnsi="宋体" w:eastAsia="宋体" w:cs="宋体"/>
                <w:color w:val="333333"/>
                <w:sz w:val="21"/>
                <w:szCs w:val="21"/>
                <w:lang w:val="en-US" w:eastAsia="zh-CN"/>
              </w:rPr>
            </w:pPr>
            <w:r>
              <w:rPr>
                <w:rFonts w:hint="eastAsia" w:ascii="宋体" w:hAnsi="宋体" w:eastAsia="宋体" w:cs="宋体"/>
                <w:color w:val="333333"/>
                <w:sz w:val="21"/>
                <w:szCs w:val="21"/>
                <w:lang w:val="en-US" w:eastAsia="zh-CN"/>
              </w:rPr>
              <w:t>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outlineLvl w:val="0"/>
        <w:rPr>
          <w:rFonts w:hint="eastAsia" w:ascii="黑体" w:hAnsi="黑体" w:eastAsia="黑体" w:cs="黑体"/>
          <w:i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四、政府信息公开行政复议、行政诉讼情况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2021年我局未有此类情况。</w:t>
      </w:r>
    </w:p>
    <w:tbl>
      <w:tblPr>
        <w:tblStyle w:val="5"/>
        <w:tblW w:w="885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0"/>
        <w:gridCol w:w="590"/>
        <w:gridCol w:w="590"/>
        <w:gridCol w:w="590"/>
        <w:gridCol w:w="590"/>
        <w:gridCol w:w="590"/>
        <w:gridCol w:w="590"/>
        <w:gridCol w:w="591"/>
        <w:gridCol w:w="590"/>
        <w:gridCol w:w="591"/>
        <w:gridCol w:w="591"/>
        <w:gridCol w:w="591"/>
        <w:gridCol w:w="591"/>
        <w:gridCol w:w="591"/>
        <w:gridCol w:w="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950"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行政复议</w:t>
            </w:r>
          </w:p>
        </w:tc>
        <w:tc>
          <w:tcPr>
            <w:tcW w:w="5906" w:type="dxa"/>
            <w:gridSpan w:val="10"/>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结果维持</w:t>
            </w:r>
          </w:p>
        </w:tc>
        <w:tc>
          <w:tcPr>
            <w:tcW w:w="590" w:type="dxa"/>
            <w:vMerge w:val="restart"/>
            <w:tcBorders>
              <w:top w:val="nil"/>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总计</w:t>
            </w:r>
          </w:p>
        </w:tc>
        <w:tc>
          <w:tcPr>
            <w:tcW w:w="2952"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未经复议直接起诉</w:t>
            </w:r>
          </w:p>
        </w:tc>
        <w:tc>
          <w:tcPr>
            <w:tcW w:w="2954"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nil"/>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vMerge w:val="continue"/>
            <w:tcBorders>
              <w:top w:val="single" w:color="auto" w:sz="4" w:space="0"/>
              <w:left w:val="single" w:color="auto" w:sz="4" w:space="0"/>
              <w:bottom w:val="single" w:color="auto" w:sz="4" w:space="0"/>
              <w:right w:val="single" w:color="auto" w:sz="4" w:space="0"/>
            </w:tcBorders>
            <w:noWrap w:val="0"/>
            <w:vAlign w:val="center"/>
          </w:tcPr>
          <w:p>
            <w:pPr>
              <w:jc w:val="left"/>
              <w:rPr>
                <w:rFonts w:hint="eastAsia" w:ascii="宋体" w:hAnsi="宋体" w:eastAsia="宋体" w:cs="宋体"/>
                <w:color w:val="333333"/>
                <w:sz w:val="21"/>
                <w:szCs w:val="21"/>
              </w:rPr>
            </w:pP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其他</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结果</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维持</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结果</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纠正</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其他</w:t>
            </w:r>
            <w:r>
              <w:rPr>
                <w:rFonts w:hint="eastAsia" w:ascii="宋体" w:hAnsi="宋体" w:eastAsia="宋体" w:cs="宋体"/>
                <w:color w:val="000000"/>
                <w:kern w:val="0"/>
                <w:sz w:val="20"/>
                <w:szCs w:val="20"/>
                <w:lang w:val="en-US" w:eastAsia="zh-CN" w:bidi="ar"/>
              </w:rPr>
              <w:br w:type="textWrapping"/>
            </w:r>
            <w:r>
              <w:rPr>
                <w:rFonts w:hint="eastAsia" w:ascii="宋体" w:hAnsi="宋体" w:eastAsia="宋体" w:cs="宋体"/>
                <w:color w:val="000000"/>
                <w:kern w:val="0"/>
                <w:sz w:val="20"/>
                <w:szCs w:val="20"/>
                <w:lang w:val="en-US" w:eastAsia="zh-CN" w:bidi="ar"/>
              </w:rPr>
              <w:t>结果</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333333"/>
                <w:kern w:val="0"/>
                <w:sz w:val="20"/>
                <w:szCs w:val="20"/>
                <w:lang w:val="en-US" w:eastAsia="zh-CN" w:bidi="ar"/>
              </w:rPr>
              <w:t>尚未</w:t>
            </w:r>
            <w:r>
              <w:rPr>
                <w:rFonts w:hint="eastAsia" w:ascii="宋体" w:hAnsi="宋体" w:eastAsia="宋体" w:cs="宋体"/>
                <w:color w:val="333333"/>
                <w:kern w:val="0"/>
                <w:sz w:val="20"/>
                <w:szCs w:val="20"/>
                <w:lang w:val="en-US" w:eastAsia="zh-CN" w:bidi="ar"/>
              </w:rPr>
              <w:br w:type="textWrapping"/>
            </w:r>
            <w:r>
              <w:rPr>
                <w:rFonts w:hint="eastAsia" w:ascii="宋体" w:hAnsi="宋体" w:eastAsia="宋体" w:cs="宋体"/>
                <w:color w:val="333333"/>
                <w:kern w:val="0"/>
                <w:sz w:val="20"/>
                <w:szCs w:val="20"/>
                <w:lang w:val="en-US" w:eastAsia="zh-CN" w:bidi="ar"/>
              </w:rPr>
              <w:t>审结</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pPr>
            <w:r>
              <w:rPr>
                <w:rFonts w:hint="eastAsia" w:ascii="宋体" w:hAnsi="宋体" w:eastAsia="宋体" w:cs="宋体"/>
                <w:color w:val="000000"/>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2" w:hRule="atLeast"/>
          <w:jc w:val="center"/>
        </w:trPr>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eastAsiaTheme="minorEastAsia"/>
                <w:lang w:val="en-US" w:eastAsia="zh-CN"/>
              </w:rPr>
            </w:pPr>
            <w:r>
              <w:rPr>
                <w:rFonts w:hint="eastAsia"/>
                <w:lang w:val="en-US" w:eastAsia="zh-CN"/>
              </w:rPr>
              <w:t>0</w:t>
            </w:r>
          </w:p>
        </w:tc>
        <w:tc>
          <w:tcPr>
            <w:tcW w:w="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Lines="0" w:afterAutospacing="0" w:line="30" w:lineRule="atLeast"/>
              <w:ind w:left="0" w:leftChars="0" w:right="0" w:rightChars="0" w:firstLine="0" w:firstLineChars="0"/>
              <w:jc w:val="center"/>
              <w:rPr>
                <w:rFonts w:hint="eastAsia"/>
                <w:lang w:val="en-US" w:eastAsia="zh-CN"/>
              </w:rPr>
            </w:pPr>
            <w:r>
              <w:rPr>
                <w:rFonts w:hint="eastAsia"/>
                <w:lang w:val="en-US" w:eastAsia="zh-CN"/>
              </w:rPr>
              <w:t>0</w:t>
            </w:r>
          </w:p>
        </w:tc>
      </w:tr>
    </w:tbl>
    <w:p>
      <w:pPr>
        <w:pStyle w:val="2"/>
        <w:rPr>
          <w:rFonts w:hint="eastAsia" w:ascii="仿宋_GB2312" w:hAnsi="仿宋_GB2312" w:eastAsia="仿宋_GB2312" w:cs="仿宋_GB2312"/>
          <w:i w:val="0"/>
          <w:caps w:val="0"/>
          <w:color w:val="auto"/>
          <w:spacing w:val="0"/>
          <w:sz w:val="32"/>
          <w:szCs w:val="32"/>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rPr>
          <w:rFonts w:hint="eastAsia" w:ascii="仿宋_GB2312" w:hAnsi="仿宋_GB2312" w:eastAsia="仿宋_GB2312" w:cs="仿宋_GB2312"/>
          <w:snapToGrid w:val="0"/>
          <w:color w:val="auto"/>
          <w:spacing w:val="-4"/>
          <w:sz w:val="32"/>
          <w:szCs w:val="32"/>
          <w:lang w:eastAsia="zh-CN"/>
        </w:rPr>
      </w:pPr>
      <w:r>
        <w:rPr>
          <w:rFonts w:hint="eastAsia" w:ascii="仿宋_GB2312" w:hAnsi="仿宋_GB2312" w:eastAsia="仿宋_GB2312" w:cs="仿宋_GB2312"/>
          <w:color w:val="auto"/>
          <w:kern w:val="0"/>
          <w:sz w:val="32"/>
          <w:szCs w:val="32"/>
          <w:shd w:val="clear" w:color="auto" w:fill="FFFFFF"/>
          <w:lang w:val="en-US" w:eastAsia="zh-CN"/>
        </w:rPr>
        <w:t>区医保局聚焦群众看病就医“关键小事”，紧紧围绕国家、省、市医保部门以及区委、区政府工作部署要求，认真做好关于医疗保障民生领域的政府信息公开工作。</w:t>
      </w:r>
      <w:r>
        <w:rPr>
          <w:rFonts w:hint="eastAsia" w:ascii="仿宋_GB2312" w:hAnsi="仿宋_GB2312" w:eastAsia="仿宋_GB2312" w:cs="仿宋_GB2312"/>
          <w:b/>
          <w:bCs/>
          <w:color w:val="auto"/>
          <w:kern w:val="0"/>
          <w:sz w:val="32"/>
          <w:szCs w:val="32"/>
          <w:shd w:val="clear" w:color="auto" w:fill="FFFFFF"/>
          <w:lang w:val="en-US" w:eastAsia="zh-CN"/>
        </w:rPr>
        <w:t>一是</w:t>
      </w:r>
      <w:r>
        <w:rPr>
          <w:rFonts w:hint="eastAsia" w:ascii="仿宋_GB2312" w:hAnsi="仿宋_GB2312" w:eastAsia="仿宋_GB2312" w:cs="仿宋_GB2312"/>
          <w:b w:val="0"/>
          <w:bCs w:val="0"/>
          <w:color w:val="auto"/>
          <w:kern w:val="0"/>
          <w:sz w:val="32"/>
          <w:szCs w:val="32"/>
          <w:shd w:val="clear" w:color="auto" w:fill="FFFFFF"/>
          <w:lang w:val="en-US" w:eastAsia="zh-CN"/>
        </w:rPr>
        <w:t>信息公开的丰富性有待进一步加强</w:t>
      </w:r>
      <w:r>
        <w:rPr>
          <w:rFonts w:hint="eastAsia" w:ascii="仿宋_GB2312" w:hAnsi="仿宋_GB2312" w:eastAsia="仿宋_GB2312" w:cs="仿宋_GB2312"/>
          <w:color w:val="auto"/>
          <w:kern w:val="0"/>
          <w:sz w:val="32"/>
          <w:szCs w:val="32"/>
          <w:shd w:val="clear" w:color="auto" w:fill="FFFFFF"/>
          <w:lang w:val="en-US" w:eastAsia="zh-CN"/>
        </w:rPr>
        <w:t>；</w:t>
      </w:r>
      <w:r>
        <w:rPr>
          <w:rFonts w:hint="eastAsia" w:ascii="仿宋_GB2312" w:hAnsi="仿宋_GB2312" w:eastAsia="仿宋_GB2312" w:cs="仿宋_GB2312"/>
          <w:b/>
          <w:bCs/>
          <w:color w:val="auto"/>
          <w:kern w:val="0"/>
          <w:sz w:val="32"/>
          <w:szCs w:val="32"/>
          <w:shd w:val="clear" w:color="auto" w:fill="FFFFFF"/>
          <w:lang w:val="en-US" w:eastAsia="zh-CN"/>
        </w:rPr>
        <w:t>二是</w:t>
      </w:r>
      <w:r>
        <w:rPr>
          <w:rFonts w:hint="eastAsia" w:ascii="仿宋_GB2312" w:hAnsi="仿宋_GB2312" w:eastAsia="仿宋_GB2312" w:cs="仿宋_GB2312"/>
          <w:b w:val="0"/>
          <w:bCs w:val="0"/>
          <w:color w:val="auto"/>
          <w:kern w:val="0"/>
          <w:sz w:val="32"/>
          <w:szCs w:val="32"/>
          <w:shd w:val="clear" w:color="auto" w:fill="FFFFFF"/>
          <w:lang w:val="en-US" w:eastAsia="zh-CN"/>
        </w:rPr>
        <w:t>各科室经办人员业务专业性需进一步提升</w:t>
      </w:r>
      <w:r>
        <w:rPr>
          <w:rFonts w:hint="eastAsia" w:ascii="仿宋_GB2312" w:hAnsi="仿宋_GB2312" w:eastAsia="仿宋_GB2312" w:cs="仿宋_GB2312"/>
          <w:color w:val="auto"/>
          <w:kern w:val="0"/>
          <w:sz w:val="32"/>
          <w:szCs w:val="32"/>
          <w:shd w:val="clear" w:color="auto" w:fill="FFFFFF"/>
          <w:lang w:val="en-US" w:eastAsia="zh-CN"/>
        </w:rPr>
        <w:t>。下一步，我局将强化政府信息公开工作，</w:t>
      </w:r>
      <w:r>
        <w:rPr>
          <w:rFonts w:hint="eastAsia" w:ascii="仿宋_GB2312" w:hAnsi="仿宋_GB2312" w:eastAsia="仿宋_GB2312" w:cs="仿宋_GB2312"/>
          <w:b/>
          <w:bCs/>
          <w:color w:val="auto"/>
          <w:kern w:val="0"/>
          <w:sz w:val="32"/>
          <w:szCs w:val="32"/>
          <w:shd w:val="clear" w:color="auto" w:fill="FFFFFF"/>
          <w:lang w:val="en-US" w:eastAsia="zh-CN"/>
        </w:rPr>
        <w:t>一是</w:t>
      </w:r>
      <w:r>
        <w:rPr>
          <w:rFonts w:hint="eastAsia" w:ascii="仿宋_GB2312" w:hAnsi="仿宋_GB2312" w:eastAsia="仿宋_GB2312" w:cs="仿宋_GB2312"/>
          <w:b w:val="0"/>
          <w:bCs w:val="0"/>
          <w:color w:val="auto"/>
          <w:kern w:val="0"/>
          <w:sz w:val="32"/>
          <w:szCs w:val="32"/>
          <w:shd w:val="clear" w:color="auto" w:fill="FFFFFF"/>
          <w:lang w:val="en-US" w:eastAsia="zh-CN"/>
        </w:rPr>
        <w:t>主动抓好群众关注热点问题以及医保重点领域的公开，以科学、严</w:t>
      </w:r>
      <w:r>
        <w:rPr>
          <w:rFonts w:hint="eastAsia" w:ascii="仿宋_GB2312" w:hAnsi="仿宋_GB2312" w:eastAsia="仿宋_GB2312" w:cs="仿宋_GB2312"/>
          <w:color w:val="auto"/>
          <w:kern w:val="0"/>
          <w:sz w:val="32"/>
          <w:szCs w:val="32"/>
          <w:shd w:val="clear" w:color="auto" w:fill="FFFFFF"/>
          <w:lang w:val="en-US" w:eastAsia="zh-CN"/>
        </w:rPr>
        <w:t>谨、通俗易懂的方式回应群众关切</w:t>
      </w:r>
      <w:r>
        <w:rPr>
          <w:rFonts w:hint="eastAsia" w:ascii="仿宋_GB2312" w:hAnsi="仿宋_GB2312" w:eastAsia="仿宋_GB2312" w:cs="仿宋_GB2312"/>
          <w:snapToGrid w:val="0"/>
          <w:color w:val="auto"/>
          <w:spacing w:val="-4"/>
          <w:sz w:val="32"/>
          <w:szCs w:val="32"/>
          <w:lang w:eastAsia="zh-CN"/>
        </w:rPr>
        <w:t>。</w:t>
      </w:r>
      <w:r>
        <w:rPr>
          <w:rFonts w:hint="eastAsia" w:ascii="仿宋_GB2312" w:hAnsi="仿宋_GB2312" w:eastAsia="仿宋_GB2312" w:cs="仿宋_GB2312"/>
          <w:b/>
          <w:bCs/>
          <w:snapToGrid w:val="0"/>
          <w:color w:val="auto"/>
          <w:spacing w:val="-4"/>
          <w:sz w:val="32"/>
          <w:szCs w:val="32"/>
          <w:lang w:eastAsia="zh-CN"/>
        </w:rPr>
        <w:t>二是</w:t>
      </w:r>
      <w:r>
        <w:rPr>
          <w:rFonts w:hint="eastAsia" w:ascii="仿宋_GB2312" w:hAnsi="仿宋_GB2312" w:eastAsia="仿宋_GB2312" w:cs="仿宋_GB2312"/>
          <w:b w:val="0"/>
          <w:bCs w:val="0"/>
          <w:snapToGrid w:val="0"/>
          <w:color w:val="auto"/>
          <w:spacing w:val="-4"/>
          <w:sz w:val="32"/>
          <w:szCs w:val="32"/>
          <w:lang w:eastAsia="zh-CN"/>
        </w:rPr>
        <w:t>加强工作人员对信息公开业务的学习培训，力求创新政策解读形式。</w:t>
      </w:r>
      <w:r>
        <w:rPr>
          <w:rFonts w:hint="eastAsia" w:ascii="仿宋_GB2312" w:hAnsi="仿宋_GB2312" w:eastAsia="仿宋_GB2312" w:cs="仿宋_GB2312"/>
          <w:b/>
          <w:bCs/>
          <w:snapToGrid w:val="0"/>
          <w:color w:val="auto"/>
          <w:spacing w:val="-4"/>
          <w:sz w:val="32"/>
          <w:szCs w:val="32"/>
          <w:lang w:eastAsia="zh-CN"/>
        </w:rPr>
        <w:t>三是</w:t>
      </w:r>
      <w:r>
        <w:rPr>
          <w:rFonts w:hint="eastAsia" w:ascii="仿宋_GB2312" w:hAnsi="仿宋_GB2312" w:eastAsia="仿宋_GB2312" w:cs="仿宋_GB2312"/>
          <w:snapToGrid w:val="0"/>
          <w:color w:val="auto"/>
          <w:spacing w:val="-4"/>
          <w:sz w:val="32"/>
          <w:szCs w:val="32"/>
        </w:rPr>
        <w:t>强化督促检查</w:t>
      </w:r>
      <w:r>
        <w:rPr>
          <w:rFonts w:hint="eastAsia" w:ascii="仿宋_GB2312" w:hAnsi="仿宋_GB2312" w:eastAsia="仿宋_GB2312" w:cs="仿宋_GB2312"/>
          <w:snapToGrid w:val="0"/>
          <w:color w:val="auto"/>
          <w:spacing w:val="-4"/>
          <w:sz w:val="32"/>
          <w:szCs w:val="32"/>
          <w:lang w:eastAsia="zh-CN"/>
        </w:rPr>
        <w:t>，</w:t>
      </w:r>
      <w:r>
        <w:rPr>
          <w:rFonts w:hint="eastAsia" w:ascii="仿宋_GB2312" w:hAnsi="仿宋_GB2312" w:eastAsia="仿宋_GB2312" w:cs="仿宋_GB2312"/>
          <w:snapToGrid w:val="0"/>
          <w:color w:val="auto"/>
          <w:spacing w:val="-4"/>
          <w:sz w:val="32"/>
          <w:szCs w:val="32"/>
        </w:rPr>
        <w:t>虚心接受</w:t>
      </w:r>
      <w:r>
        <w:rPr>
          <w:rFonts w:hint="eastAsia" w:ascii="仿宋_GB2312" w:hAnsi="仿宋_GB2312" w:eastAsia="仿宋_GB2312" w:cs="仿宋_GB2312"/>
          <w:snapToGrid w:val="0"/>
          <w:color w:val="auto"/>
          <w:spacing w:val="-4"/>
          <w:sz w:val="32"/>
          <w:szCs w:val="32"/>
          <w:lang w:eastAsia="zh-CN"/>
        </w:rPr>
        <w:t>群众</w:t>
      </w:r>
      <w:r>
        <w:rPr>
          <w:rFonts w:hint="eastAsia" w:ascii="仿宋_GB2312" w:hAnsi="仿宋_GB2312" w:eastAsia="仿宋_GB2312" w:cs="仿宋_GB2312"/>
          <w:snapToGrid w:val="0"/>
          <w:color w:val="auto"/>
          <w:spacing w:val="-4"/>
          <w:sz w:val="32"/>
          <w:szCs w:val="32"/>
        </w:rPr>
        <w:t>的监督，切实</w:t>
      </w:r>
      <w:r>
        <w:rPr>
          <w:rFonts w:hint="eastAsia" w:ascii="仿宋_GB2312" w:hAnsi="仿宋_GB2312" w:eastAsia="仿宋_GB2312" w:cs="仿宋_GB2312"/>
          <w:snapToGrid w:val="0"/>
          <w:color w:val="auto"/>
          <w:spacing w:val="-4"/>
          <w:sz w:val="32"/>
          <w:szCs w:val="32"/>
          <w:lang w:eastAsia="zh-CN"/>
        </w:rPr>
        <w:t>履行</w:t>
      </w:r>
      <w:r>
        <w:rPr>
          <w:rFonts w:hint="eastAsia" w:ascii="仿宋_GB2312" w:hAnsi="仿宋_GB2312" w:eastAsia="仿宋_GB2312" w:cs="仿宋_GB2312"/>
          <w:snapToGrid w:val="0"/>
          <w:color w:val="auto"/>
          <w:spacing w:val="-4"/>
          <w:sz w:val="32"/>
          <w:szCs w:val="32"/>
        </w:rPr>
        <w:t>政务信息公开</w:t>
      </w:r>
      <w:r>
        <w:rPr>
          <w:rFonts w:hint="eastAsia" w:ascii="仿宋_GB2312" w:hAnsi="仿宋_GB2312" w:eastAsia="仿宋_GB2312" w:cs="仿宋_GB2312"/>
          <w:snapToGrid w:val="0"/>
          <w:color w:val="auto"/>
          <w:spacing w:val="-4"/>
          <w:sz w:val="32"/>
          <w:szCs w:val="32"/>
          <w:lang w:eastAsia="zh-CN"/>
        </w:rPr>
        <w:t>职责。</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firstLine="640" w:firstLineChars="200"/>
        <w:textAlignment w:val="auto"/>
        <w:outlineLvl w:val="0"/>
        <w:rPr>
          <w:rFonts w:hint="eastAsia" w:ascii="黑体" w:hAnsi="黑体" w:eastAsia="黑体" w:cs="黑体"/>
          <w:i w:val="0"/>
          <w:caps w:val="0"/>
          <w:color w:val="auto"/>
          <w:spacing w:val="0"/>
          <w:sz w:val="32"/>
          <w:szCs w:val="32"/>
          <w:shd w:val="clear" w:fill="FFFFFF"/>
          <w:lang w:val="en-US" w:eastAsia="zh-CN"/>
        </w:rPr>
      </w:pPr>
      <w:r>
        <w:rPr>
          <w:rFonts w:hint="eastAsia" w:ascii="黑体" w:hAnsi="黑体" w:eastAsia="黑体" w:cs="黑体"/>
          <w:i w:val="0"/>
          <w:caps w:val="0"/>
          <w:color w:val="auto"/>
          <w:spacing w:val="0"/>
          <w:sz w:val="32"/>
          <w:szCs w:val="32"/>
          <w:shd w:val="clear" w:fill="FFFFFF"/>
          <w:lang w:val="en-US" w:eastAsia="zh-CN"/>
        </w:rPr>
        <w:t>六、其他需要报告的事项</w:t>
      </w:r>
    </w:p>
    <w:p>
      <w:pPr>
        <w:numPr>
          <w:ilvl w:val="0"/>
          <w:numId w:val="0"/>
        </w:numPr>
        <w:ind w:leftChars="0" w:firstLine="640" w:firstLineChars="200"/>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区医保局2021年度未收到医疗保障相关的政府信息公开申请，故未产生任何有关政府信息公开信息处理事项及费用。</w:t>
      </w:r>
    </w:p>
    <w:p>
      <w:pPr>
        <w:numPr>
          <w:ilvl w:val="0"/>
          <w:numId w:val="0"/>
        </w:numPr>
        <w:ind w:leftChars="0" w:firstLine="640" w:firstLineChars="200"/>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特此说明。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right"/>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宁波市北仑区医疗保障局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jc w:val="center"/>
        <w:textAlignment w:val="auto"/>
        <w:rPr>
          <w:rFonts w:hint="eastAsia" w:ascii="仿宋_GB2312" w:hAnsi="仿宋_GB2312" w:eastAsia="仿宋_GB2312" w:cs="仿宋_GB2312"/>
          <w:i w:val="0"/>
          <w:caps w:val="0"/>
          <w:color w:val="auto"/>
          <w:spacing w:val="0"/>
          <w:sz w:val="32"/>
          <w:szCs w:val="32"/>
          <w:shd w:val="clear" w:fill="FFFFFF"/>
          <w:lang w:val="en-US" w:eastAsia="zh-CN"/>
        </w:rPr>
      </w:pPr>
      <w:r>
        <w:rPr>
          <w:rFonts w:hint="eastAsia" w:ascii="仿宋_GB2312" w:hAnsi="仿宋_GB2312" w:eastAsia="仿宋_GB2312" w:cs="仿宋_GB2312"/>
          <w:i w:val="0"/>
          <w:caps w:val="0"/>
          <w:color w:val="auto"/>
          <w:spacing w:val="0"/>
          <w:sz w:val="32"/>
          <w:szCs w:val="32"/>
          <w:shd w:val="clear" w:fill="FFFFFF"/>
          <w:lang w:val="en-US" w:eastAsia="zh-CN"/>
        </w:rPr>
        <w:t xml:space="preserve">                               2022年1月19日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D5FF33"/>
    <w:multiLevelType w:val="singleLevel"/>
    <w:tmpl w:val="95D5FF33"/>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7A1375"/>
    <w:rsid w:val="00227565"/>
    <w:rsid w:val="0030744A"/>
    <w:rsid w:val="010B62EC"/>
    <w:rsid w:val="036E38F6"/>
    <w:rsid w:val="041E6963"/>
    <w:rsid w:val="050B5024"/>
    <w:rsid w:val="05140197"/>
    <w:rsid w:val="05E5395E"/>
    <w:rsid w:val="07565F77"/>
    <w:rsid w:val="09046B9A"/>
    <w:rsid w:val="09AB1520"/>
    <w:rsid w:val="0A2D26AA"/>
    <w:rsid w:val="0A513CF8"/>
    <w:rsid w:val="0C8656C4"/>
    <w:rsid w:val="0F2807C5"/>
    <w:rsid w:val="10914213"/>
    <w:rsid w:val="133A087E"/>
    <w:rsid w:val="13D31F0A"/>
    <w:rsid w:val="13DA521B"/>
    <w:rsid w:val="15393D90"/>
    <w:rsid w:val="15974A98"/>
    <w:rsid w:val="1620457D"/>
    <w:rsid w:val="166D0405"/>
    <w:rsid w:val="1677398D"/>
    <w:rsid w:val="16F716E5"/>
    <w:rsid w:val="17172F54"/>
    <w:rsid w:val="18063CA3"/>
    <w:rsid w:val="18975AF7"/>
    <w:rsid w:val="18E14C48"/>
    <w:rsid w:val="19803CAA"/>
    <w:rsid w:val="1A6E02CF"/>
    <w:rsid w:val="1AE41F2D"/>
    <w:rsid w:val="1B814D16"/>
    <w:rsid w:val="1BBA61EA"/>
    <w:rsid w:val="1C886F46"/>
    <w:rsid w:val="1CD43994"/>
    <w:rsid w:val="1D087169"/>
    <w:rsid w:val="1D663F22"/>
    <w:rsid w:val="1D9A4977"/>
    <w:rsid w:val="1E0B2425"/>
    <w:rsid w:val="1F0464D3"/>
    <w:rsid w:val="1F545159"/>
    <w:rsid w:val="1F9614DB"/>
    <w:rsid w:val="20613C2B"/>
    <w:rsid w:val="23867C2B"/>
    <w:rsid w:val="24564ECD"/>
    <w:rsid w:val="260369CC"/>
    <w:rsid w:val="26D2611F"/>
    <w:rsid w:val="27BE36E5"/>
    <w:rsid w:val="28143C10"/>
    <w:rsid w:val="28F3747E"/>
    <w:rsid w:val="2A3005E9"/>
    <w:rsid w:val="2B1A5115"/>
    <w:rsid w:val="2B6324B8"/>
    <w:rsid w:val="2BD23A5D"/>
    <w:rsid w:val="2DC86BE7"/>
    <w:rsid w:val="2E6F346F"/>
    <w:rsid w:val="2F454F8F"/>
    <w:rsid w:val="304B5013"/>
    <w:rsid w:val="30753458"/>
    <w:rsid w:val="31D83205"/>
    <w:rsid w:val="345D7FA5"/>
    <w:rsid w:val="352C59C5"/>
    <w:rsid w:val="355F7DE5"/>
    <w:rsid w:val="35917B6D"/>
    <w:rsid w:val="35F1172E"/>
    <w:rsid w:val="363D124B"/>
    <w:rsid w:val="394B5561"/>
    <w:rsid w:val="3A2344D3"/>
    <w:rsid w:val="3C9060D4"/>
    <w:rsid w:val="3CA8080A"/>
    <w:rsid w:val="3DAE4653"/>
    <w:rsid w:val="3FA92145"/>
    <w:rsid w:val="400B70FD"/>
    <w:rsid w:val="405E0D58"/>
    <w:rsid w:val="409B7A11"/>
    <w:rsid w:val="4185344D"/>
    <w:rsid w:val="4193122F"/>
    <w:rsid w:val="431341CA"/>
    <w:rsid w:val="43352651"/>
    <w:rsid w:val="45645B52"/>
    <w:rsid w:val="45DA4984"/>
    <w:rsid w:val="46270115"/>
    <w:rsid w:val="47243600"/>
    <w:rsid w:val="4850702D"/>
    <w:rsid w:val="49D40D49"/>
    <w:rsid w:val="4B5B652B"/>
    <w:rsid w:val="4C642D84"/>
    <w:rsid w:val="4CFD3AD3"/>
    <w:rsid w:val="4D6210FA"/>
    <w:rsid w:val="4DF256EF"/>
    <w:rsid w:val="4E2E0561"/>
    <w:rsid w:val="502F5C92"/>
    <w:rsid w:val="50DE51FD"/>
    <w:rsid w:val="514B1729"/>
    <w:rsid w:val="516B17AE"/>
    <w:rsid w:val="51D242BB"/>
    <w:rsid w:val="533B683C"/>
    <w:rsid w:val="533F6637"/>
    <w:rsid w:val="53950A81"/>
    <w:rsid w:val="53BF6CDD"/>
    <w:rsid w:val="53E14337"/>
    <w:rsid w:val="54026041"/>
    <w:rsid w:val="545B46F3"/>
    <w:rsid w:val="54646CC1"/>
    <w:rsid w:val="5616423D"/>
    <w:rsid w:val="56AF24FA"/>
    <w:rsid w:val="56B354B2"/>
    <w:rsid w:val="570C44B4"/>
    <w:rsid w:val="5A643499"/>
    <w:rsid w:val="5A7E42BB"/>
    <w:rsid w:val="5B200DB4"/>
    <w:rsid w:val="5C800E7F"/>
    <w:rsid w:val="5DEB749A"/>
    <w:rsid w:val="5E083803"/>
    <w:rsid w:val="5EEC153B"/>
    <w:rsid w:val="5F1E4374"/>
    <w:rsid w:val="5FA1279F"/>
    <w:rsid w:val="616C3832"/>
    <w:rsid w:val="617A1375"/>
    <w:rsid w:val="619C3599"/>
    <w:rsid w:val="61C12DFF"/>
    <w:rsid w:val="663C04B7"/>
    <w:rsid w:val="68065FAE"/>
    <w:rsid w:val="68A2684D"/>
    <w:rsid w:val="6ADE486D"/>
    <w:rsid w:val="6BA27CCB"/>
    <w:rsid w:val="6D3D7191"/>
    <w:rsid w:val="6DA974B6"/>
    <w:rsid w:val="6DE23536"/>
    <w:rsid w:val="6E832372"/>
    <w:rsid w:val="6FE6783F"/>
    <w:rsid w:val="700938DC"/>
    <w:rsid w:val="72F76BC0"/>
    <w:rsid w:val="73CE62D1"/>
    <w:rsid w:val="77586457"/>
    <w:rsid w:val="785422E3"/>
    <w:rsid w:val="79AF6803"/>
    <w:rsid w:val="79DE0C7E"/>
    <w:rsid w:val="7B5F6B84"/>
    <w:rsid w:val="7C0124E0"/>
    <w:rsid w:val="7DE85ECF"/>
    <w:rsid w:val="7ED46345"/>
    <w:rsid w:val="7EDF4C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nhideWhenUsed/>
    <w:qFormat/>
    <w:uiPriority w:val="99"/>
    <w:pPr>
      <w:spacing w:after="0" w:line="300" w:lineRule="auto"/>
      <w:ind w:left="0" w:leftChars="0"/>
    </w:pPr>
    <w:rPr>
      <w:rFonts w:hint="default" w:ascii="Calibri" w:hAnsi="Calibri"/>
      <w:i/>
      <w:sz w:val="21"/>
    </w:rPr>
  </w:style>
  <w:style w:type="paragraph" w:styleId="3">
    <w:name w:val="Body Text Indent"/>
    <w:basedOn w:val="1"/>
    <w:unhideWhenUsed/>
    <w:qFormat/>
    <w:uiPriority w:val="99"/>
    <w:pPr>
      <w:spacing w:after="120"/>
      <w:ind w:left="420" w:leftChars="200"/>
    </w:pPr>
    <w:rPr>
      <w:rFonts w:hint="default"/>
      <w:sz w:val="21"/>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2021-01-10T05:40:00Z</dcterms:created>
  <dc:creator>WPS_1479569902</dc:creator>
  <cp:lastModifiedBy>WPS_1479569902</cp:lastModifiedBy>
  <dcterms:modified xsi:type="dcterms:W3CDTF">2022-01-25T06:06:02Z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