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600" w:lineRule="exact"/>
        <w:jc w:val="center"/>
        <w:rPr>
          <w:rFonts w:ascii="方正小标宋简体" w:hAnsi="方正小标宋简体" w:eastAsia="方正小标宋简体" w:cs="方正小标宋简体"/>
          <w:bCs/>
          <w:color w:val="auto"/>
          <w:sz w:val="44"/>
          <w:szCs w:val="44"/>
          <w:shd w:val="clear" w:color="auto" w:fill="FFFFFF"/>
        </w:rPr>
      </w:pPr>
      <w:bookmarkStart w:id="0" w:name="_GoBack"/>
      <w:bookmarkEnd w:id="0"/>
      <w:r>
        <w:rPr>
          <w:rFonts w:hint="eastAsia" w:ascii="方正小标宋简体" w:hAnsi="方正小标宋简体" w:eastAsia="方正小标宋简体" w:cs="方正小标宋简体"/>
          <w:bCs/>
          <w:color w:val="auto"/>
          <w:sz w:val="44"/>
          <w:szCs w:val="44"/>
          <w:shd w:val="clear" w:color="auto" w:fill="FFFFFF"/>
        </w:rPr>
        <w:t>宁波经济技术开发区新兴产业和服务业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方正小标宋简体" w:hAnsi="方正小标宋简体" w:eastAsia="方正小标宋简体" w:cs="方正小标宋简体"/>
          <w:bCs/>
          <w:color w:val="auto"/>
          <w:sz w:val="44"/>
          <w:szCs w:val="44"/>
          <w:shd w:val="clear" w:color="auto" w:fill="FFFFFF"/>
        </w:rPr>
        <w:t>发展局</w:t>
      </w:r>
      <w:r>
        <w:rPr>
          <w:rFonts w:hint="eastAsia" w:ascii="方正小标宋简体" w:hAnsi="方正小标宋简体" w:eastAsia="方正小标宋简体" w:cs="方正小标宋简体"/>
          <w:b w:val="0"/>
          <w:bCs/>
          <w:snapToGrid w:val="0"/>
          <w:color w:val="auto"/>
          <w:spacing w:val="-11"/>
          <w:sz w:val="44"/>
          <w:szCs w:val="44"/>
        </w:rPr>
        <w:t>202</w:t>
      </w:r>
      <w:r>
        <w:rPr>
          <w:rFonts w:hint="eastAsia" w:ascii="方正小标宋简体" w:hAnsi="方正小标宋简体" w:eastAsia="方正小标宋简体" w:cs="方正小标宋简体"/>
          <w:b w:val="0"/>
          <w:bCs/>
          <w:snapToGrid w:val="0"/>
          <w:color w:val="auto"/>
          <w:spacing w:val="-11"/>
          <w:sz w:val="44"/>
          <w:szCs w:val="44"/>
          <w:lang w:val="en-US" w:eastAsia="zh-CN"/>
        </w:rPr>
        <w:t>1</w:t>
      </w:r>
      <w:r>
        <w:rPr>
          <w:rFonts w:hint="eastAsia" w:ascii="方正小标宋简体" w:hAnsi="方正小标宋简体" w:eastAsia="方正小标宋简体" w:cs="方正小标宋简体"/>
          <w:b w:val="0"/>
          <w:bCs/>
          <w:snapToGrid w:val="0"/>
          <w:color w:val="auto"/>
          <w:spacing w:val="-11"/>
          <w:sz w:val="44"/>
          <w:szCs w:val="44"/>
        </w:rPr>
        <w:t>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 xml:space="preserve">（一）主动公开政府信息的情况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1.政府信息公开的内容。政府信息主动公开</w:t>
      </w:r>
      <w:r>
        <w:rPr>
          <w:rFonts w:hint="eastAsia" w:ascii="宋体" w:hAnsi="宋体" w:eastAsia="宋体" w:cs="宋体"/>
          <w:i w:val="0"/>
          <w:caps w:val="0"/>
          <w:color w:val="333333"/>
          <w:spacing w:val="0"/>
          <w:sz w:val="24"/>
          <w:szCs w:val="24"/>
          <w:shd w:val="clear" w:fill="FFFFFF"/>
          <w:lang w:val="en-US" w:eastAsia="zh-CN"/>
        </w:rPr>
        <w:t>142</w:t>
      </w:r>
      <w:r>
        <w:rPr>
          <w:rFonts w:hint="eastAsia" w:ascii="宋体" w:hAnsi="宋体" w:eastAsia="宋体" w:cs="宋体"/>
          <w:i w:val="0"/>
          <w:caps w:val="0"/>
          <w:color w:val="333333"/>
          <w:spacing w:val="0"/>
          <w:sz w:val="24"/>
          <w:szCs w:val="24"/>
          <w:shd w:val="clear" w:fill="FFFFFF"/>
        </w:rPr>
        <w:t>条，其中，政府网站公开政府信息数63条，政务微信公开政府信息数73条，其他方式公开政府信息数</w:t>
      </w:r>
      <w:r>
        <w:rPr>
          <w:rFonts w:hint="eastAsia" w:ascii="宋体" w:hAnsi="宋体" w:eastAsia="宋体" w:cs="宋体"/>
          <w:i w:val="0"/>
          <w:caps w:val="0"/>
          <w:color w:val="333333"/>
          <w:spacing w:val="0"/>
          <w:sz w:val="24"/>
          <w:szCs w:val="24"/>
          <w:shd w:val="clear" w:fill="FFFFFF"/>
          <w:lang w:val="en-US" w:eastAsia="zh-CN"/>
        </w:rPr>
        <w:t>6</w:t>
      </w:r>
      <w:r>
        <w:rPr>
          <w:rFonts w:hint="eastAsia" w:ascii="宋体" w:hAnsi="宋体" w:eastAsia="宋体" w:cs="宋体"/>
          <w:i w:val="0"/>
          <w:caps w:val="0"/>
          <w:color w:val="333333"/>
          <w:spacing w:val="0"/>
          <w:sz w:val="24"/>
          <w:szCs w:val="24"/>
          <w:shd w:val="clear" w:fill="FFFFFF"/>
        </w:rPr>
        <w:t>条。回应公众关注热点或重大舆情数9条。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 xml:space="preserve">2.政府信息公开方式。通过北仑之窗网站、北仑服务业微信公众号等形式向外公开。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 xml:space="preserve">（二）依申请公开政府信息和不予公开政府信息情况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　1.申请情况：202</w:t>
      </w:r>
      <w:r>
        <w:rPr>
          <w:rFonts w:hint="eastAsia" w:ascii="宋体" w:hAnsi="宋体" w:eastAsia="宋体" w:cs="宋体"/>
          <w:i w:val="0"/>
          <w:caps w:val="0"/>
          <w:color w:val="333333"/>
          <w:spacing w:val="0"/>
          <w:sz w:val="24"/>
          <w:szCs w:val="24"/>
          <w:shd w:val="clear" w:fill="FFFFFF"/>
          <w:lang w:val="en-US" w:eastAsia="zh-CN"/>
        </w:rPr>
        <w:t>1</w:t>
      </w:r>
      <w:r>
        <w:rPr>
          <w:rFonts w:hint="eastAsia" w:ascii="宋体" w:hAnsi="宋体" w:eastAsia="宋体" w:cs="宋体"/>
          <w:i w:val="0"/>
          <w:caps w:val="0"/>
          <w:color w:val="333333"/>
          <w:spacing w:val="0"/>
          <w:sz w:val="24"/>
          <w:szCs w:val="24"/>
          <w:shd w:val="clear" w:fill="FFFFFF"/>
        </w:rPr>
        <w:t xml:space="preserve">年度无依申请公开政府信息。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2.处理情况：202</w:t>
      </w:r>
      <w:r>
        <w:rPr>
          <w:rFonts w:hint="eastAsia" w:ascii="宋体" w:hAnsi="宋体" w:eastAsia="宋体" w:cs="宋体"/>
          <w:i w:val="0"/>
          <w:caps w:val="0"/>
          <w:color w:val="333333"/>
          <w:spacing w:val="0"/>
          <w:sz w:val="24"/>
          <w:szCs w:val="24"/>
          <w:shd w:val="clear" w:fill="FFFFFF"/>
          <w:lang w:val="en-US" w:eastAsia="zh-CN"/>
        </w:rPr>
        <w:t>1</w:t>
      </w:r>
      <w:r>
        <w:rPr>
          <w:rFonts w:hint="eastAsia" w:ascii="宋体" w:hAnsi="宋体" w:eastAsia="宋体" w:cs="宋体"/>
          <w:i w:val="0"/>
          <w:caps w:val="0"/>
          <w:color w:val="333333"/>
          <w:spacing w:val="0"/>
          <w:sz w:val="24"/>
          <w:szCs w:val="24"/>
          <w:shd w:val="clear" w:fill="FFFFFF"/>
        </w:rPr>
        <w:t xml:space="preserve">年无处理情况。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（三）政府信息管理及规范化建设情况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一是强化组织领导，成立政务公开工作领导小组，实行政府信息采集、编辑、审核、发布等工作常态化工作机制，落实专人负责公布政府信息公开内容，保障政府信息及时公开到位。二是强化公开内容，进一步提升政府信息与政务公开工作水平。根据业务发展和制度修订情况，及时更新信息公开目录和政务信息公开指南，主动公开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w:t>
      </w:r>
      <w:r>
        <w:rPr>
          <w:rFonts w:hint="eastAsia" w:ascii="宋体" w:hAnsi="宋体" w:eastAsia="宋体" w:cs="宋体"/>
          <w:i w:val="0"/>
          <w:caps w:val="0"/>
          <w:color w:val="333333"/>
          <w:spacing w:val="0"/>
          <w:sz w:val="24"/>
          <w:szCs w:val="24"/>
          <w:lang w:val="en-US" w:eastAsia="zh-CN"/>
        </w:rPr>
        <w:t>四</w:t>
      </w:r>
      <w:r>
        <w:rPr>
          <w:rFonts w:hint="eastAsia" w:ascii="宋体" w:hAnsi="宋体" w:eastAsia="宋体" w:cs="宋体"/>
          <w:i w:val="0"/>
          <w:caps w:val="0"/>
          <w:color w:val="333333"/>
          <w:spacing w:val="0"/>
          <w:sz w:val="24"/>
          <w:szCs w:val="24"/>
        </w:rPr>
        <w:t>）监督保障及教育培训情况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shd w:val="clear" w:fill="FFFFFF"/>
        </w:rPr>
      </w:pPr>
      <w:r>
        <w:rPr>
          <w:rFonts w:hint="eastAsia" w:ascii="宋体" w:hAnsi="宋体" w:eastAsia="宋体" w:cs="宋体"/>
          <w:i w:val="0"/>
          <w:caps w:val="0"/>
          <w:color w:val="333333"/>
          <w:spacing w:val="0"/>
          <w:sz w:val="24"/>
          <w:szCs w:val="24"/>
        </w:rPr>
        <w:t>一是推进公开制度建设，规范公开工作流程。结合工作实际，进一步完善政府信息公开工作配套制度，从内容、程序、监督、责任追究等各环节入手切实规范政府信息公开工作。二是健全信息公开审查制度。对政府信息公开目录和内容进行认真审核，严格遵守</w:t>
      </w:r>
      <w:r>
        <w:rPr>
          <w:rFonts w:hint="eastAsia" w:ascii="宋体" w:hAnsi="宋体" w:eastAsia="宋体" w:cs="宋体"/>
          <w:i w:val="0"/>
          <w:caps w:val="0"/>
          <w:color w:val="333333"/>
          <w:spacing w:val="0"/>
          <w:sz w:val="24"/>
          <w:szCs w:val="24"/>
          <w:lang w:val="en-US" w:eastAsia="zh-CN"/>
        </w:rPr>
        <w:t>相关</w:t>
      </w:r>
      <w:r>
        <w:rPr>
          <w:rFonts w:hint="eastAsia" w:ascii="宋体" w:hAnsi="宋体" w:eastAsia="宋体" w:cs="宋体"/>
          <w:i w:val="0"/>
          <w:caps w:val="0"/>
          <w:color w:val="333333"/>
          <w:spacing w:val="0"/>
          <w:sz w:val="24"/>
          <w:szCs w:val="24"/>
        </w:rPr>
        <w:t>规定，确保了</w:t>
      </w:r>
      <w:r>
        <w:rPr>
          <w:rFonts w:hint="eastAsia" w:ascii="宋体" w:hAnsi="宋体" w:eastAsia="宋体" w:cs="宋体"/>
          <w:i w:val="0"/>
          <w:caps w:val="0"/>
          <w:color w:val="333333"/>
          <w:spacing w:val="0"/>
          <w:sz w:val="24"/>
          <w:szCs w:val="24"/>
          <w:lang w:val="en-US" w:eastAsia="zh-CN"/>
        </w:rPr>
        <w:t>相关</w:t>
      </w:r>
      <w:r>
        <w:rPr>
          <w:rFonts w:hint="eastAsia" w:ascii="宋体" w:hAnsi="宋体" w:eastAsia="宋体" w:cs="宋体"/>
          <w:i w:val="0"/>
          <w:caps w:val="0"/>
          <w:color w:val="333333"/>
          <w:spacing w:val="0"/>
          <w:sz w:val="24"/>
          <w:szCs w:val="24"/>
        </w:rPr>
        <w:t>信息</w:t>
      </w:r>
      <w:r>
        <w:rPr>
          <w:rFonts w:hint="eastAsia" w:ascii="宋体" w:hAnsi="宋体" w:eastAsia="宋体" w:cs="宋体"/>
          <w:i w:val="0"/>
          <w:caps w:val="0"/>
          <w:color w:val="333333"/>
          <w:spacing w:val="0"/>
          <w:sz w:val="24"/>
          <w:szCs w:val="24"/>
          <w:lang w:val="en-US" w:eastAsia="zh-CN"/>
        </w:rPr>
        <w:t>及时公开</w:t>
      </w:r>
      <w:r>
        <w:rPr>
          <w:rFonts w:hint="eastAsia" w:ascii="宋体" w:hAnsi="宋体" w:eastAsia="宋体" w:cs="宋体"/>
          <w:i w:val="0"/>
          <w:caps w:val="0"/>
          <w:color w:val="333333"/>
          <w:spacing w:val="0"/>
          <w:sz w:val="24"/>
          <w:szCs w:val="24"/>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二、主动公开政府信息情况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3"/>
        <w:tblW w:w="9740" w:type="dxa"/>
        <w:jc w:val="center"/>
        <w:tblInd w:w="-66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jc w:val="center"/>
              <w:rPr>
                <w:rFonts w:hint="eastAsia" w:ascii="宋体" w:eastAsia="宋体"/>
                <w:sz w:val="24"/>
                <w:szCs w:val="24"/>
                <w:lang w:val="en-US" w:eastAsia="zh-CN"/>
              </w:rPr>
            </w:pPr>
            <w:r>
              <w:rPr>
                <w:rFonts w:hint="eastAsia" w:ascii="宋体"/>
                <w:sz w:val="24"/>
                <w:szCs w:val="24"/>
                <w:lang w:val="en-US" w:eastAsia="zh-CN"/>
              </w:rPr>
              <w:t>0</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三、收到和处理政府信息公开申请情况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3"/>
        <w:tblW w:w="9748" w:type="dxa"/>
        <w:jc w:val="center"/>
        <w:tblInd w:w="-61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54"/>
        <w:gridCol w:w="3351"/>
        <w:gridCol w:w="706"/>
        <w:gridCol w:w="706"/>
        <w:gridCol w:w="706"/>
        <w:gridCol w:w="706"/>
        <w:gridCol w:w="707"/>
        <w:gridCol w:w="707"/>
        <w:gridCol w:w="42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5085"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kern w:val="0"/>
                <w:sz w:val="20"/>
                <w:szCs w:val="20"/>
                <w:lang w:val="en-US" w:eastAsia="zh-CN" w:bidi="ar"/>
              </w:rPr>
              <w:t>（本列数据的勾稽关系为：第一项加第二项之和，等于第三项加第四项之和）</w:t>
            </w:r>
          </w:p>
        </w:tc>
        <w:tc>
          <w:tcPr>
            <w:tcW w:w="4663"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5085"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706"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532"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425"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PrEx>
        <w:trPr>
          <w:jc w:val="center"/>
        </w:trPr>
        <w:tc>
          <w:tcPr>
            <w:tcW w:w="5085"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706"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706"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70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70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425"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508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508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三、本年度办理结果</w:t>
            </w:r>
          </w:p>
        </w:tc>
        <w:tc>
          <w:tcPr>
            <w:tcW w:w="430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（一）予以公开</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430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（三）不予公开</w:t>
            </w: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1.属于国家秘密</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2.其他法律行政法规禁止公开</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3.危及“三安全一稳定”</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4.保护第三方合法权益</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5.属于三类内部事务信息</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6.属于四类过程性信息</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7.属于行政执法案卷</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8.属于行政查询事项</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（四）无法提供</w:t>
            </w: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1.本机关不掌握相关政府信息</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2.没有现成信息需要另行制作</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3.补正后申请内容仍不明确</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（五）不予处理</w:t>
            </w: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1.信访举报投诉类申请</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2.重复申请</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3.要求提供公开出版物</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4.无正当理由大量反复申请</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5.要求行政机关确认或重新出具已获取信息</w:t>
            </w:r>
          </w:p>
        </w:tc>
        <w:tc>
          <w:tcPr>
            <w:tcW w:w="706"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outset"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（六）其他处理</w:t>
            </w:r>
          </w:p>
        </w:tc>
        <w:tc>
          <w:tcPr>
            <w:tcW w:w="335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54"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35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3.其他</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kern w:val="0"/>
                <w:sz w:val="20"/>
                <w:szCs w:val="20"/>
                <w:lang w:val="en-US" w:eastAsia="zh-CN" w:bidi="ar"/>
              </w:rPr>
              <w:t> </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kern w:val="0"/>
                <w:sz w:val="20"/>
                <w:szCs w:val="20"/>
                <w:lang w:val="en-US" w:eastAsia="zh-CN" w:bidi="ar"/>
              </w:rPr>
              <w:t> </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430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（七）总计</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5085"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0</w:t>
            </w:r>
          </w:p>
        </w:tc>
        <w:tc>
          <w:tcPr>
            <w:tcW w:w="70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eastAsia" w:ascii="宋体" w:eastAsia="宋体"/>
                <w:sz w:val="24"/>
                <w:szCs w:val="24"/>
                <w:lang w:val="en-US" w:eastAsia="zh-CN"/>
              </w:rPr>
            </w:pPr>
            <w:r>
              <w:rPr>
                <w:rFonts w:hint="eastAsia" w:ascii="宋体"/>
                <w:sz w:val="24"/>
                <w:szCs w:val="24"/>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四、政府信息公开行政复议、行政诉讼情况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tbl>
      <w:tblPr>
        <w:tblStyle w:val="3"/>
        <w:tblW w:w="9748" w:type="dxa"/>
        <w:jc w:val="center"/>
        <w:tblInd w:w="-61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2"/>
        <w:gridCol w:w="642"/>
        <w:gridCol w:w="642"/>
        <w:gridCol w:w="642"/>
        <w:gridCol w:w="642"/>
        <w:gridCol w:w="642"/>
        <w:gridCol w:w="642"/>
        <w:gridCol w:w="643"/>
        <w:gridCol w:w="643"/>
        <w:gridCol w:w="643"/>
        <w:gridCol w:w="643"/>
        <w:gridCol w:w="643"/>
        <w:gridCol w:w="643"/>
        <w:gridCol w:w="643"/>
        <w:gridCol w:w="75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53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32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75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0</w:t>
            </w:r>
          </w:p>
        </w:tc>
        <w:tc>
          <w:tcPr>
            <w:tcW w:w="75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ascii="宋体" w:eastAsia="宋体"/>
                <w:sz w:val="24"/>
                <w:szCs w:val="24"/>
                <w:lang w:val="en-US" w:eastAsia="zh-CN"/>
              </w:rPr>
            </w:pPr>
            <w:r>
              <w:rPr>
                <w:rFonts w:hint="eastAsia" w:ascii="宋体"/>
                <w:sz w:val="24"/>
                <w:szCs w:val="24"/>
                <w:lang w:val="en-US" w:eastAsia="zh-CN"/>
              </w:rPr>
              <w:t>0</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存在问题：一是政务信息公开内容质量还有待进一步提高；二是公开数量</w:t>
      </w:r>
      <w:r>
        <w:rPr>
          <w:rFonts w:hint="eastAsia" w:ascii="宋体" w:hAnsi="宋体" w:eastAsia="宋体" w:cs="宋体"/>
          <w:i w:val="0"/>
          <w:caps w:val="0"/>
          <w:color w:val="333333"/>
          <w:spacing w:val="0"/>
          <w:sz w:val="24"/>
          <w:szCs w:val="24"/>
          <w:shd w:val="clear" w:fill="FFFFFF"/>
          <w:lang w:val="en-US" w:eastAsia="zh-CN"/>
        </w:rPr>
        <w:t>不够多</w:t>
      </w:r>
      <w:r>
        <w:rPr>
          <w:rFonts w:hint="eastAsia" w:ascii="宋体" w:hAnsi="宋体" w:eastAsia="宋体" w:cs="宋体"/>
          <w:i w:val="0"/>
          <w:caps w:val="0"/>
          <w:color w:val="333333"/>
          <w:spacing w:val="0"/>
          <w:sz w:val="24"/>
          <w:szCs w:val="24"/>
          <w:shd w:val="clear" w:fill="FFFFFF"/>
        </w:rPr>
        <w:t>；三是信息公开范围及形式有待拓宽</w:t>
      </w:r>
      <w:r>
        <w:rPr>
          <w:rFonts w:hint="eastAsia" w:ascii="宋体" w:hAnsi="宋体" w:eastAsia="宋体" w:cs="宋体"/>
          <w:i w:val="0"/>
          <w:caps w:val="0"/>
          <w:color w:val="333333"/>
          <w:spacing w:val="0"/>
          <w:sz w:val="24"/>
          <w:szCs w:val="24"/>
          <w:shd w:val="clear" w:fill="FFFFFF"/>
          <w:lang w:val="en-US" w:eastAsia="zh-CN"/>
        </w:rPr>
        <w:t>丰富</w:t>
      </w:r>
      <w:r>
        <w:rPr>
          <w:rFonts w:hint="eastAsia" w:ascii="宋体" w:hAnsi="宋体" w:eastAsia="宋体" w:cs="宋体"/>
          <w:i w:val="0"/>
          <w:caps w:val="0"/>
          <w:color w:val="333333"/>
          <w:spacing w:val="0"/>
          <w:sz w:val="24"/>
          <w:szCs w:val="24"/>
          <w:shd w:val="clear" w:fill="FFFFFF"/>
          <w:lang w:eastAsia="zh-CN"/>
        </w:rPr>
        <w:t>。</w:t>
      </w:r>
      <w:r>
        <w:rPr>
          <w:rFonts w:hint="eastAsia" w:ascii="宋体" w:hAnsi="宋体" w:eastAsia="宋体" w:cs="宋体"/>
          <w:i w:val="0"/>
          <w:caps w:val="0"/>
          <w:color w:val="333333"/>
          <w:spacing w:val="0"/>
          <w:sz w:val="24"/>
          <w:szCs w:val="24"/>
          <w:shd w:val="clear" w:fill="FFFFFF"/>
        </w:rPr>
        <w:t>对此</w:t>
      </w:r>
      <w:r>
        <w:rPr>
          <w:rFonts w:hint="eastAsia" w:ascii="宋体" w:hAnsi="宋体" w:eastAsia="宋体" w:cs="宋体"/>
          <w:i w:val="0"/>
          <w:caps w:val="0"/>
          <w:color w:val="333333"/>
          <w:spacing w:val="0"/>
          <w:sz w:val="24"/>
          <w:szCs w:val="24"/>
          <w:shd w:val="clear" w:fill="FFFFFF"/>
          <w:lang w:val="en-US" w:eastAsia="zh-CN"/>
        </w:rPr>
        <w:t>将</w:t>
      </w:r>
      <w:r>
        <w:rPr>
          <w:rFonts w:hint="eastAsia" w:ascii="宋体" w:hAnsi="宋体" w:eastAsia="宋体" w:cs="宋体"/>
          <w:i w:val="0"/>
          <w:caps w:val="0"/>
          <w:color w:val="333333"/>
          <w:spacing w:val="0"/>
          <w:sz w:val="24"/>
          <w:szCs w:val="24"/>
          <w:shd w:val="clear" w:fill="FFFFFF"/>
        </w:rPr>
        <w:t>坚持问题导向，认真加以改进和解决。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改进措施：一是强化思想认识。加强《条例》和市、</w:t>
      </w:r>
      <w:r>
        <w:rPr>
          <w:rFonts w:hint="eastAsia" w:ascii="宋体" w:hAnsi="宋体" w:eastAsia="宋体" w:cs="宋体"/>
          <w:i w:val="0"/>
          <w:caps w:val="0"/>
          <w:color w:val="333333"/>
          <w:spacing w:val="0"/>
          <w:sz w:val="24"/>
          <w:szCs w:val="24"/>
          <w:shd w:val="clear" w:fill="FFFFFF"/>
          <w:lang w:val="en-US" w:eastAsia="zh-CN"/>
        </w:rPr>
        <w:t>区</w:t>
      </w:r>
      <w:r>
        <w:rPr>
          <w:rFonts w:hint="eastAsia" w:ascii="宋体" w:hAnsi="宋体" w:eastAsia="宋体" w:cs="宋体"/>
          <w:i w:val="0"/>
          <w:caps w:val="0"/>
          <w:color w:val="333333"/>
          <w:spacing w:val="0"/>
          <w:sz w:val="24"/>
          <w:szCs w:val="24"/>
          <w:shd w:val="clear" w:fill="FFFFFF"/>
        </w:rPr>
        <w:t>有关文件的学习，增强工作的主动性和责任意识。二是强化责任落实。及时收集、报送信息，充实信息来源</w:t>
      </w:r>
      <w:r>
        <w:rPr>
          <w:rFonts w:hint="eastAsia" w:ascii="宋体" w:hAnsi="宋体" w:eastAsia="宋体" w:cs="宋体"/>
          <w:i w:val="0"/>
          <w:caps w:val="0"/>
          <w:color w:val="333333"/>
          <w:spacing w:val="0"/>
          <w:sz w:val="24"/>
          <w:szCs w:val="24"/>
          <w:shd w:val="clear" w:fill="FFFFFF"/>
          <w:lang w:val="en-US" w:eastAsia="zh-CN"/>
        </w:rPr>
        <w:t>和</w:t>
      </w:r>
      <w:r>
        <w:rPr>
          <w:rFonts w:hint="eastAsia" w:ascii="宋体" w:hAnsi="宋体" w:eastAsia="宋体" w:cs="宋体"/>
          <w:i w:val="0"/>
          <w:caps w:val="0"/>
          <w:color w:val="333333"/>
          <w:spacing w:val="0"/>
          <w:sz w:val="24"/>
          <w:szCs w:val="24"/>
          <w:shd w:val="clear" w:fill="FFFFFF"/>
        </w:rPr>
        <w:t>信息内容。</w:t>
      </w:r>
      <w:r>
        <w:rPr>
          <w:rFonts w:hint="eastAsia" w:ascii="宋体" w:hAnsi="宋体" w:eastAsia="宋体" w:cs="宋体"/>
          <w:i w:val="0"/>
          <w:caps w:val="0"/>
          <w:color w:val="333333"/>
          <w:spacing w:val="0"/>
          <w:sz w:val="24"/>
          <w:szCs w:val="24"/>
          <w:shd w:val="clear" w:fill="FFFFFF"/>
          <w:lang w:val="en-US" w:eastAsia="zh-CN"/>
        </w:rPr>
        <w:t>三</w:t>
      </w:r>
      <w:r>
        <w:rPr>
          <w:rFonts w:hint="eastAsia" w:ascii="宋体" w:hAnsi="宋体" w:eastAsia="宋体" w:cs="宋体"/>
          <w:i w:val="0"/>
          <w:caps w:val="0"/>
          <w:color w:val="333333"/>
          <w:spacing w:val="0"/>
          <w:sz w:val="24"/>
          <w:szCs w:val="24"/>
          <w:shd w:val="clear" w:fill="FFFFFF"/>
        </w:rPr>
        <w:t>是</w:t>
      </w:r>
      <w:r>
        <w:rPr>
          <w:rFonts w:hint="eastAsia" w:ascii="宋体" w:hAnsi="宋体" w:eastAsia="宋体" w:cs="宋体"/>
          <w:i w:val="0"/>
          <w:caps w:val="0"/>
          <w:color w:val="333333"/>
          <w:spacing w:val="0"/>
          <w:sz w:val="24"/>
          <w:szCs w:val="24"/>
          <w:shd w:val="clear" w:fill="FFFFFF"/>
          <w:lang w:val="en-US" w:eastAsia="zh-CN"/>
        </w:rPr>
        <w:t>丰富公开形式</w:t>
      </w:r>
      <w:r>
        <w:rPr>
          <w:rFonts w:hint="eastAsia" w:ascii="宋体" w:hAnsi="宋体" w:eastAsia="宋体" w:cs="宋体"/>
          <w:i w:val="0"/>
          <w:caps w:val="0"/>
          <w:color w:val="333333"/>
          <w:spacing w:val="0"/>
          <w:sz w:val="24"/>
          <w:szCs w:val="24"/>
          <w:shd w:val="clear" w:fill="FFFFFF"/>
        </w:rPr>
        <w:t>。继续将政务公开工作作为本局工作的重要内容，加大公开力度，不断拓展和丰富政府信息公开内容。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2" w:firstLineChars="20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六、其他需要报告的事项</w:t>
      </w:r>
    </w:p>
    <w:p>
      <w:pPr>
        <w:ind w:firstLine="480" w:firstLineChars="200"/>
      </w:pPr>
      <w:r>
        <w:rPr>
          <w:rFonts w:hint="eastAsia" w:ascii="宋体" w:hAnsi="宋体" w:eastAsia="宋体" w:cs="宋体"/>
          <w:i w:val="0"/>
          <w:caps w:val="0"/>
          <w:color w:val="333333"/>
          <w:spacing w:val="0"/>
          <w:sz w:val="24"/>
          <w:szCs w:val="24"/>
          <w:shd w:val="clear" w:fill="FFFFFF"/>
          <w:lang w:val="en-US" w:eastAsia="zh-CN"/>
        </w:rPr>
        <w:t>全年没有发生因政务公开工作被追究责任的情况，本机关全年没有收到超出一定数量或者频次范围的政府信息公开申请，也未对申请人收取信息处理费。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352E4C"/>
    <w:rsid w:val="05271D71"/>
    <w:rsid w:val="19352E4C"/>
    <w:rsid w:val="1E1F3DC2"/>
    <w:rsid w:val="249D7837"/>
    <w:rsid w:val="2CA76C5C"/>
    <w:rsid w:val="2D7E012D"/>
    <w:rsid w:val="338D0135"/>
    <w:rsid w:val="33DB43A1"/>
    <w:rsid w:val="368915BF"/>
    <w:rsid w:val="4A6E3048"/>
    <w:rsid w:val="54F10559"/>
    <w:rsid w:val="62E70DCF"/>
    <w:rsid w:val="70A507C8"/>
    <w:rsid w:val="71983289"/>
    <w:rsid w:val="7B806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2021-12-22T08:20:00Z</dcterms:created>
  <dc:creator>鱼鱼</dc:creator>
  <cp:lastModifiedBy>鱼鱼</cp:lastModifiedBy>
  <cp:lastPrinted>2021-12-23T03:03:00Z</cp:lastPrinted>
  <dcterms:modified xsi:type="dcterms:W3CDTF">2022-02-09T07:22:27Z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