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bottom w:val="none" w:color="auto" w:sz="0" w:space="0"/>
        </w:pBdr>
        <w:spacing w:line="480" w:lineRule="atLeast"/>
        <w:ind w:right="0" w:rightChars="0"/>
        <w:jc w:val="center"/>
        <w:rPr>
          <w:rFonts w:hint="eastAsia" w:ascii="方正小标宋简体" w:hAnsi="方正小标宋简体" w:eastAsia="方正小标宋简体" w:cs="方正小标宋简体"/>
          <w:b w:val="0"/>
          <w:color w:val="333333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color w:val="333333"/>
          <w:sz w:val="44"/>
          <w:szCs w:val="44"/>
          <w:lang w:val="en-US" w:eastAsia="zh-CN"/>
        </w:rPr>
        <w:t>2019年度宁波市北仑区（开发区）房屋征收管理服务中心（征地拆迁管理服务中心）</w:t>
      </w:r>
      <w:r>
        <w:rPr>
          <w:rFonts w:hint="eastAsia" w:ascii="方正小标宋简体" w:hAnsi="方正小标宋简体" w:eastAsia="方正小标宋简体" w:cs="方正小标宋简体"/>
          <w:b w:val="0"/>
          <w:color w:val="333333"/>
          <w:sz w:val="44"/>
          <w:szCs w:val="44"/>
          <w:lang w:eastAsia="zh-CN"/>
        </w:rPr>
        <w:t>政府信息公开工作年度报告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bottom w:val="none" w:color="auto" w:sz="0" w:space="0"/>
        </w:pBdr>
        <w:spacing w:line="480" w:lineRule="atLeast"/>
        <w:ind w:right="0" w:rightChars="0"/>
        <w:jc w:val="both"/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  <w:t>总体情况</w:t>
      </w: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val="en-US" w:eastAsia="zh-CN"/>
        </w:rPr>
        <w:t xml:space="preserve">   </w:t>
      </w:r>
    </w:p>
    <w:p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pacing w:line="480" w:lineRule="atLeast"/>
        <w:ind w:left="0" w:firstLine="420"/>
        <w:jc w:val="left"/>
        <w:rPr>
          <w:rFonts w:ascii="微软雅黑" w:hAnsi="微软雅黑" w:eastAsia="微软雅黑" w:cs="微软雅黑"/>
          <w:b w:val="0"/>
          <w:color w:val="333333"/>
          <w:sz w:val="21"/>
          <w:szCs w:val="21"/>
        </w:rPr>
      </w:pPr>
      <w:r>
        <w:rPr>
          <w:rFonts w:ascii="微软雅黑" w:hAnsi="微软雅黑" w:eastAsia="微软雅黑" w:cs="微软雅黑"/>
          <w:b w:val="0"/>
          <w:color w:val="333333"/>
          <w:sz w:val="21"/>
          <w:szCs w:val="21"/>
        </w:rPr>
        <w:t>2019年我</w:t>
      </w: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  <w:t>中心</w:t>
      </w:r>
      <w:r>
        <w:rPr>
          <w:rFonts w:ascii="微软雅黑" w:hAnsi="微软雅黑" w:eastAsia="微软雅黑" w:cs="微软雅黑"/>
          <w:b w:val="0"/>
          <w:color w:val="333333"/>
          <w:sz w:val="21"/>
          <w:szCs w:val="21"/>
        </w:rPr>
        <w:t>认真贯彻《中华人民共和国政府信息公开条例》的各项规定，按照区政府的统一部署和要求，</w:t>
      </w:r>
      <w:r>
        <w:rPr>
          <w:rFonts w:ascii="微软雅黑" w:hAnsi="微软雅黑" w:eastAsia="微软雅黑" w:cs="微软雅黑"/>
          <w:b w:val="0"/>
          <w:color w:val="333333"/>
          <w:sz w:val="21"/>
          <w:szCs w:val="21"/>
        </w:rPr>
        <w:t>自觉、规范、及时地做好本部门信息公开的各项工作</w:t>
      </w: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  <w:t>。我中心在</w:t>
      </w:r>
      <w:r>
        <w:rPr>
          <w:rFonts w:ascii="微软雅黑" w:hAnsi="微软雅黑" w:eastAsia="微软雅黑" w:cs="微软雅黑"/>
          <w:b w:val="0"/>
          <w:color w:val="333333"/>
          <w:sz w:val="21"/>
          <w:szCs w:val="21"/>
        </w:rPr>
        <w:t>加强组织领导、健全工作机制、完善相关制度等方面</w:t>
      </w: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  <w:t>努力</w:t>
      </w:r>
      <w:r>
        <w:rPr>
          <w:rFonts w:ascii="微软雅黑" w:hAnsi="微软雅黑" w:eastAsia="微软雅黑" w:cs="微软雅黑"/>
          <w:b w:val="0"/>
          <w:color w:val="333333"/>
          <w:sz w:val="21"/>
          <w:szCs w:val="21"/>
        </w:rPr>
        <w:t>，全面提高政府信息公开工作质量。现对2019年度北仑区（开发区）房屋征收管理服务中心（征地拆迁管理服务中心）信息公开情况进行报告，本年报所列数据的统计期限自2019年1月1日起至2019年12月31日止。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  <w:t>（一）加强政府信息公开工作组织领导。我中心领导高度重视政府信息公开工作，</w:t>
      </w:r>
      <w:r>
        <w:rPr>
          <w:rFonts w:ascii="微软雅黑" w:hAnsi="微软雅黑" w:eastAsia="微软雅黑" w:cs="微软雅黑"/>
          <w:b w:val="0"/>
          <w:color w:val="333333"/>
          <w:sz w:val="21"/>
          <w:szCs w:val="21"/>
        </w:rPr>
        <w:t>明确了信息公开</w:t>
      </w: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  <w:t>工作</w:t>
      </w:r>
      <w:r>
        <w:rPr>
          <w:rFonts w:ascii="微软雅黑" w:hAnsi="微软雅黑" w:eastAsia="微软雅黑" w:cs="微软雅黑"/>
          <w:b w:val="0"/>
          <w:color w:val="333333"/>
          <w:sz w:val="21"/>
          <w:szCs w:val="21"/>
        </w:rPr>
        <w:t>的</w:t>
      </w: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  <w:t>分工与</w:t>
      </w:r>
      <w:r>
        <w:rPr>
          <w:rFonts w:ascii="微软雅黑" w:hAnsi="微软雅黑" w:eastAsia="微软雅黑" w:cs="微软雅黑"/>
          <w:b w:val="0"/>
          <w:color w:val="333333"/>
          <w:sz w:val="21"/>
          <w:szCs w:val="21"/>
        </w:rPr>
        <w:t>责任</w:t>
      </w: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  <w:t>，加强对工作的监督。</w:t>
      </w:r>
      <w:r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各有关科室根据任务分解具体负责信息工作的落实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，</w:t>
      </w:r>
      <w:r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各科室长为本科室第一责任人，指导信息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公开工作</w:t>
      </w:r>
      <w:r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的处理，确保顺利进行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，并</w:t>
      </w:r>
      <w:r>
        <w:rPr>
          <w:rFonts w:ascii="微软雅黑" w:hAnsi="微软雅黑" w:eastAsia="微软雅黑" w:cs="微软雅黑"/>
          <w:b w:val="0"/>
          <w:color w:val="333333"/>
          <w:sz w:val="21"/>
          <w:szCs w:val="21"/>
        </w:rPr>
        <w:t>增强各公开主体信息公开的主动性，提升信息的数量和质量。</w:t>
      </w:r>
    </w:p>
    <w:p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pacing w:line="480" w:lineRule="atLeast"/>
        <w:ind w:left="0" w:firstLine="420"/>
        <w:jc w:val="left"/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  <w:t>（二）</w:t>
      </w:r>
      <w:r>
        <w:rPr>
          <w:rFonts w:ascii="微软雅黑" w:hAnsi="微软雅黑" w:eastAsia="微软雅黑" w:cs="微软雅黑"/>
          <w:b w:val="0"/>
          <w:color w:val="333333"/>
          <w:sz w:val="21"/>
          <w:szCs w:val="21"/>
        </w:rPr>
        <w:t>建立健全政府信息公开工作机制</w:t>
      </w: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  <w:t>。根据区委区政府的要求，我中心及时发布征地拆迁信息、人事信息、预决算信息等主动公开信息。根据</w:t>
      </w:r>
      <w:r>
        <w:rPr>
          <w:rFonts w:ascii="微软雅黑" w:hAnsi="微软雅黑" w:eastAsia="微软雅黑" w:cs="微软雅黑"/>
          <w:b w:val="0"/>
          <w:color w:val="333333"/>
          <w:sz w:val="21"/>
          <w:szCs w:val="21"/>
        </w:rPr>
        <w:t>《中华人民共和国政府信息公开条例》</w:t>
      </w: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  <w:t>的规定及时答复各类依申请公开信息，</w:t>
      </w:r>
      <w:r>
        <w:rPr>
          <w:rFonts w:ascii="微软雅黑" w:hAnsi="微软雅黑" w:eastAsia="微软雅黑" w:cs="微软雅黑"/>
          <w:b w:val="0"/>
          <w:color w:val="333333"/>
          <w:sz w:val="21"/>
          <w:szCs w:val="21"/>
        </w:rPr>
        <w:t>把政府信息公开工作作为一项日常工作常抓不懈</w:t>
      </w: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  <w:t>。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bottom w:val="none" w:color="auto" w:sz="0" w:space="0"/>
        </w:pBdr>
        <w:spacing w:line="480" w:lineRule="atLeast"/>
        <w:ind w:right="0" w:rightChars="0"/>
        <w:jc w:val="both"/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  <w:t>主动公开政府信息情况</w:t>
      </w:r>
    </w:p>
    <w:p>
      <w:pPr>
        <w:keepNext w:val="0"/>
        <w:keepLines w:val="0"/>
        <w:widowControl/>
        <w:suppressLineNumbers w:val="0"/>
        <w:jc w:val="left"/>
      </w:pPr>
    </w:p>
    <w:tbl>
      <w:tblPr>
        <w:tblStyle w:val="3"/>
        <w:tblW w:w="81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本年新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本年新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对外公开总数量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本年增/减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第二十条第（九）项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采购总金额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852511</w:t>
            </w:r>
          </w:p>
        </w:tc>
      </w:tr>
    </w:tbl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bottom w:val="none" w:color="auto" w:sz="0" w:space="0"/>
        </w:pBdr>
        <w:spacing w:line="480" w:lineRule="atLeast"/>
        <w:ind w:right="0" w:rightChars="0"/>
        <w:jc w:val="both"/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</w:pP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bottom w:val="none" w:color="auto" w:sz="0" w:space="0"/>
        </w:pBdr>
        <w:spacing w:line="480" w:lineRule="atLeast"/>
        <w:ind w:right="0" w:rightChars="0"/>
        <w:jc w:val="both"/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  <w:t>收到和处理政府信息公开申请情况</w:t>
      </w:r>
    </w:p>
    <w:tbl>
      <w:tblPr>
        <w:tblStyle w:val="3"/>
        <w:tblpPr w:leftFromText="180" w:rightFromText="180" w:vertAnchor="text" w:horzAnchor="page" w:tblpX="1804" w:tblpY="149"/>
        <w:tblOverlap w:val="never"/>
        <w:tblW w:w="9071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54"/>
        <w:gridCol w:w="2086"/>
        <w:gridCol w:w="813"/>
        <w:gridCol w:w="755"/>
        <w:gridCol w:w="755"/>
        <w:gridCol w:w="813"/>
        <w:gridCol w:w="973"/>
        <w:gridCol w:w="711"/>
        <w:gridCol w:w="69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5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5515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5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9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5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9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5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 15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5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5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bottom w:val="none" w:color="auto" w:sz="0" w:space="0"/>
        </w:pBdr>
        <w:spacing w:line="480" w:lineRule="atLeast"/>
        <w:ind w:right="0" w:rightChars="0"/>
        <w:jc w:val="both"/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</w:pP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bottom w:val="none" w:color="auto" w:sz="0" w:space="0"/>
        </w:pBdr>
        <w:spacing w:line="480" w:lineRule="atLeast"/>
        <w:ind w:right="0" w:rightChars="0"/>
        <w:jc w:val="both"/>
      </w:pP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  <w:t>政府信息公开行政复议、行政诉讼情况</w:t>
      </w:r>
    </w:p>
    <w:tbl>
      <w:tblPr>
        <w:tblStyle w:val="3"/>
        <w:tblW w:w="9071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bottom w:val="none" w:color="auto" w:sz="0" w:space="0"/>
        </w:pBdr>
        <w:spacing w:line="480" w:lineRule="atLeast"/>
        <w:ind w:right="0" w:rightChars="0"/>
        <w:jc w:val="both"/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</w:pP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bottom w:val="none" w:color="auto" w:sz="0" w:space="0"/>
        </w:pBdr>
        <w:spacing w:line="480" w:lineRule="atLeast"/>
        <w:ind w:right="0" w:rightChars="0"/>
        <w:jc w:val="both"/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  <w:t>存在的主要问题及改进情况</w:t>
      </w:r>
    </w:p>
    <w:p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pacing w:line="480" w:lineRule="atLeast"/>
        <w:ind w:left="0" w:firstLine="420"/>
        <w:jc w:val="left"/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  <w:t>房屋征收和征地拆迁工作</w:t>
      </w:r>
      <w:r>
        <w:rPr>
          <w:rFonts w:ascii="微软雅黑" w:hAnsi="微软雅黑" w:eastAsia="微软雅黑" w:cs="微软雅黑"/>
          <w:b w:val="0"/>
          <w:color w:val="333333"/>
          <w:sz w:val="21"/>
          <w:szCs w:val="21"/>
        </w:rPr>
        <w:t>一直是群众关注的热点</w:t>
      </w: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  <w:t>问题</w:t>
      </w:r>
      <w:r>
        <w:rPr>
          <w:rFonts w:ascii="微软雅黑" w:hAnsi="微软雅黑" w:eastAsia="微软雅黑" w:cs="微软雅黑"/>
          <w:b w:val="0"/>
          <w:color w:val="333333"/>
          <w:sz w:val="21"/>
          <w:szCs w:val="21"/>
        </w:rPr>
        <w:t>，我</w:t>
      </w: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  <w:t>中心</w:t>
      </w:r>
      <w:r>
        <w:rPr>
          <w:rFonts w:ascii="微软雅黑" w:hAnsi="微软雅黑" w:eastAsia="微软雅黑" w:cs="微软雅黑"/>
          <w:b w:val="0"/>
          <w:color w:val="333333"/>
          <w:sz w:val="21"/>
          <w:szCs w:val="21"/>
        </w:rPr>
        <w:t>政府信息公开工作除了</w:t>
      </w: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  <w:t>及时发布征地、拆迁、安置等主动公开信息外，也及时发布各类</w:t>
      </w:r>
      <w:r>
        <w:rPr>
          <w:rFonts w:ascii="微软雅黑" w:hAnsi="微软雅黑" w:eastAsia="微软雅黑" w:cs="微软雅黑"/>
          <w:b w:val="0"/>
          <w:color w:val="333333"/>
          <w:sz w:val="21"/>
          <w:szCs w:val="21"/>
        </w:rPr>
        <w:t>生动的政策解读，</w:t>
      </w: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  <w:t>积极答复群众、企业的依申请公开。</w:t>
      </w:r>
      <w:r>
        <w:rPr>
          <w:rFonts w:ascii="微软雅黑" w:hAnsi="微软雅黑" w:eastAsia="微软雅黑" w:cs="微软雅黑"/>
          <w:b w:val="0"/>
          <w:color w:val="333333"/>
          <w:sz w:val="21"/>
          <w:szCs w:val="21"/>
        </w:rPr>
        <w:t>但仍存在一定</w:t>
      </w: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  <w:t>问题</w:t>
      </w:r>
      <w:r>
        <w:rPr>
          <w:rFonts w:ascii="微软雅黑" w:hAnsi="微软雅黑" w:eastAsia="微软雅黑" w:cs="微软雅黑"/>
          <w:b w:val="0"/>
          <w:color w:val="333333"/>
          <w:sz w:val="21"/>
          <w:szCs w:val="21"/>
        </w:rPr>
        <w:t>，</w:t>
      </w: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  <w:t>比如：</w:t>
      </w:r>
      <w:r>
        <w:rPr>
          <w:rFonts w:ascii="微软雅黑" w:hAnsi="微软雅黑" w:eastAsia="微软雅黑" w:cs="微软雅黑"/>
          <w:b w:val="0"/>
          <w:color w:val="333333"/>
          <w:sz w:val="21"/>
          <w:szCs w:val="21"/>
        </w:rPr>
        <w:t>信息公开培训</w:t>
      </w: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  <w:t>工作</w:t>
      </w:r>
      <w:r>
        <w:rPr>
          <w:rFonts w:ascii="微软雅黑" w:hAnsi="微软雅黑" w:eastAsia="微软雅黑" w:cs="微软雅黑"/>
          <w:b w:val="0"/>
          <w:color w:val="333333"/>
          <w:sz w:val="21"/>
          <w:szCs w:val="21"/>
        </w:rPr>
        <w:t>有待加强，信息公开内容还需充实规范。在今后工作中我</w:t>
      </w: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  <w:t>中心</w:t>
      </w:r>
      <w:r>
        <w:rPr>
          <w:rFonts w:ascii="微软雅黑" w:hAnsi="微软雅黑" w:eastAsia="微软雅黑" w:cs="微软雅黑"/>
          <w:b w:val="0"/>
          <w:color w:val="333333"/>
          <w:sz w:val="21"/>
          <w:szCs w:val="21"/>
        </w:rPr>
        <w:t>将进一步加大政府信息公开工作力度</w:t>
      </w: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  <w:t>，</w:t>
      </w:r>
      <w:r>
        <w:rPr>
          <w:rFonts w:ascii="微软雅黑" w:hAnsi="微软雅黑" w:eastAsia="微软雅黑" w:cs="微软雅黑"/>
          <w:b w:val="0"/>
          <w:color w:val="333333"/>
          <w:sz w:val="21"/>
          <w:szCs w:val="21"/>
        </w:rPr>
        <w:t>不断完善政府信息公开内容</w:t>
      </w: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  <w:t>，以确保让群众及时了解各类政府信息。</w:t>
      </w:r>
      <w:bookmarkStart w:id="0" w:name="_GoBack"/>
      <w:bookmarkEnd w:id="0"/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bottom w:val="none" w:color="auto" w:sz="0" w:space="0"/>
        </w:pBdr>
        <w:spacing w:line="480" w:lineRule="atLeast"/>
        <w:ind w:right="0" w:rightChars="0"/>
        <w:jc w:val="both"/>
      </w:pPr>
      <w:r>
        <w:rPr>
          <w:rFonts w:hint="eastAsia" w:ascii="微软雅黑" w:hAnsi="微软雅黑" w:eastAsia="微软雅黑" w:cs="微软雅黑"/>
          <w:b w:val="0"/>
          <w:color w:val="333333"/>
          <w:sz w:val="21"/>
          <w:szCs w:val="21"/>
          <w:lang w:eastAsia="zh-CN"/>
        </w:rPr>
        <w:t>其他需要报告的事项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bottom w:val="none" w:color="auto" w:sz="0" w:space="0"/>
        </w:pBdr>
        <w:spacing w:line="480" w:lineRule="atLeast"/>
        <w:ind w:right="0" w:rightChars="0"/>
        <w:jc w:val="both"/>
      </w:pPr>
      <w:r>
        <w:rPr>
          <w:rFonts w:ascii="微软雅黑" w:hAnsi="微软雅黑" w:eastAsia="微软雅黑" w:cs="微软雅黑"/>
          <w:b w:val="0"/>
          <w:color w:val="333333"/>
          <w:sz w:val="21"/>
          <w:szCs w:val="21"/>
        </w:rPr>
        <w:t>本年度无其他需要报告的事项。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8368AC"/>
    <w:multiLevelType w:val="singleLevel"/>
    <w:tmpl w:val="768368A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984FE1"/>
    <w:rsid w:val="0E984FE1"/>
    <w:rsid w:val="1C2B1DAF"/>
    <w:rsid w:val="225563FF"/>
    <w:rsid w:val="2989287B"/>
    <w:rsid w:val="29F9139E"/>
    <w:rsid w:val="2A603155"/>
    <w:rsid w:val="366A396E"/>
    <w:rsid w:val="3EDD7222"/>
    <w:rsid w:val="400A2E58"/>
    <w:rsid w:val="579D4A29"/>
    <w:rsid w:val="634C78F4"/>
    <w:rsid w:val="78775EA1"/>
    <w:rsid w:val="7D9D49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Hyperlink"/>
    <w:basedOn w:val="4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2019-12-30T07:23:00Z</dcterms:created>
  <dc:creator>西西</dc:creator>
  <cp:lastModifiedBy>西西</cp:lastModifiedBy>
  <dcterms:modified xsi:type="dcterms:W3CDTF">2020-03-17T06:53:48Z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