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36"/>
        </w:rPr>
      </w:pPr>
      <w:r>
        <w:rPr>
          <w:rFonts w:hint="eastAsia" w:ascii="方正小标宋简体" w:hAnsi="方正小标宋简体" w:eastAsia="方正小标宋简体" w:cs="方正小标宋简体"/>
          <w:b w:val="0"/>
          <w:bCs/>
          <w:snapToGrid w:val="0"/>
          <w:color w:val="000000"/>
          <w:spacing w:val="-11"/>
          <w:sz w:val="36"/>
          <w:lang w:eastAsia="zh-CN"/>
        </w:rPr>
        <w:t>霞浦街道</w:t>
      </w:r>
      <w:r>
        <w:rPr>
          <w:rFonts w:hint="eastAsia" w:ascii="方正小标宋简体" w:hAnsi="方正小标宋简体" w:eastAsia="方正小标宋简体" w:cs="方正小标宋简体"/>
          <w:b w:val="0"/>
          <w:bCs/>
          <w:snapToGrid w:val="0"/>
          <w:color w:val="000000"/>
          <w:spacing w:val="-11"/>
          <w:sz w:val="36"/>
        </w:rPr>
        <w:t>办事处202</w:t>
      </w:r>
      <w:r>
        <w:rPr>
          <w:rFonts w:hint="eastAsia" w:ascii="方正小标宋简体" w:hAnsi="方正小标宋简体" w:eastAsia="方正小标宋简体" w:cs="方正小标宋简体"/>
          <w:b w:val="0"/>
          <w:bCs/>
          <w:snapToGrid w:val="0"/>
          <w:color w:val="000000"/>
          <w:spacing w:val="-11"/>
          <w:sz w:val="36"/>
          <w:lang w:val="en-US" w:eastAsia="zh-CN"/>
        </w:rPr>
        <w:t>1</w:t>
      </w:r>
      <w:r>
        <w:rPr>
          <w:rFonts w:hint="eastAsia" w:ascii="方正小标宋简体" w:hAnsi="方正小标宋简体" w:eastAsia="方正小标宋简体" w:cs="方正小标宋简体"/>
          <w:b w:val="0"/>
          <w:bCs/>
          <w:snapToGrid w:val="0"/>
          <w:color w:val="000000"/>
          <w:spacing w:val="-11"/>
          <w:sz w:val="36"/>
        </w:rPr>
        <w:t>年度政府信息公开工作年度报告</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36"/>
        </w:rPr>
      </w:pP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20</w:t>
      </w:r>
      <w:r>
        <w:rPr>
          <w:rFonts w:hint="eastAsia" w:ascii="仿宋_GB2312" w:hAnsi="仿宋_GB2312" w:eastAsia="仿宋_GB2312" w:cs="仿宋_GB2312"/>
          <w:b w:val="0"/>
          <w:bCs/>
          <w:color w:val="000000"/>
          <w:sz w:val="32"/>
          <w:szCs w:val="32"/>
          <w:lang w:val="en-US" w:eastAsia="zh-CN"/>
        </w:rPr>
        <w:t>21</w:t>
      </w:r>
      <w:r>
        <w:rPr>
          <w:rFonts w:hint="eastAsia" w:ascii="仿宋_GB2312" w:hAnsi="仿宋_GB2312" w:eastAsia="仿宋_GB2312" w:cs="仿宋_GB2312"/>
          <w:b w:val="0"/>
          <w:bCs/>
          <w:color w:val="000000"/>
          <w:sz w:val="32"/>
          <w:szCs w:val="32"/>
        </w:rPr>
        <w:t>年我街道认真贯彻《中华人民共和国政府信息公开条例》各项规定，按照区政府的统一部署和要求，坚持“以公开为常态、不公开为例外”原则</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color w:val="000000"/>
          <w:sz w:val="32"/>
          <w:szCs w:val="32"/>
        </w:rPr>
        <w:t>全面提高政府信息公开工作</w:t>
      </w:r>
      <w:r>
        <w:rPr>
          <w:rFonts w:hint="eastAsia" w:ascii="仿宋_GB2312" w:hAnsi="仿宋_GB2312" w:eastAsia="仿宋_GB2312" w:cs="仿宋_GB2312"/>
          <w:b w:val="0"/>
          <w:bCs/>
          <w:color w:val="000000"/>
          <w:sz w:val="32"/>
          <w:szCs w:val="32"/>
          <w:lang w:eastAsia="zh-CN"/>
        </w:rPr>
        <w:t>质量</w:t>
      </w:r>
      <w:r>
        <w:rPr>
          <w:rFonts w:hint="eastAsia" w:ascii="仿宋_GB2312" w:hAnsi="仿宋_GB2312" w:eastAsia="仿宋_GB2312" w:cs="仿宋_GB2312"/>
          <w:b w:val="0"/>
          <w:bCs/>
          <w:color w:val="000000"/>
          <w:sz w:val="32"/>
          <w:szCs w:val="32"/>
        </w:rPr>
        <w:t>。现对20</w:t>
      </w:r>
      <w:r>
        <w:rPr>
          <w:rFonts w:hint="eastAsia" w:ascii="仿宋_GB2312" w:hAnsi="仿宋_GB2312" w:eastAsia="仿宋_GB2312" w:cs="仿宋_GB2312"/>
          <w:b w:val="0"/>
          <w:bCs/>
          <w:color w:val="000000"/>
          <w:sz w:val="32"/>
          <w:szCs w:val="32"/>
          <w:lang w:val="en-US" w:eastAsia="zh-CN"/>
        </w:rPr>
        <w:t>21</w:t>
      </w:r>
      <w:r>
        <w:rPr>
          <w:rFonts w:hint="eastAsia" w:ascii="仿宋_GB2312" w:hAnsi="仿宋_GB2312" w:eastAsia="仿宋_GB2312" w:cs="仿宋_GB2312"/>
          <w:b w:val="0"/>
          <w:bCs/>
          <w:color w:val="000000"/>
          <w:sz w:val="32"/>
          <w:szCs w:val="32"/>
        </w:rPr>
        <w:t>年度霞浦街道信息公开情况进行报告，本年报所列数据的统计期限自20</w:t>
      </w:r>
      <w:r>
        <w:rPr>
          <w:rFonts w:hint="eastAsia" w:ascii="仿宋_GB2312" w:hAnsi="仿宋_GB2312" w:eastAsia="仿宋_GB2312" w:cs="仿宋_GB2312"/>
          <w:b w:val="0"/>
          <w:bCs/>
          <w:color w:val="000000"/>
          <w:sz w:val="32"/>
          <w:szCs w:val="32"/>
          <w:lang w:val="en-US" w:eastAsia="zh-CN"/>
        </w:rPr>
        <w:t>21</w:t>
      </w:r>
      <w:r>
        <w:rPr>
          <w:rFonts w:hint="eastAsia" w:ascii="仿宋_GB2312" w:hAnsi="仿宋_GB2312" w:eastAsia="仿宋_GB2312" w:cs="仿宋_GB2312"/>
          <w:b w:val="0"/>
          <w:bCs/>
          <w:color w:val="000000"/>
          <w:sz w:val="32"/>
          <w:szCs w:val="32"/>
        </w:rPr>
        <w:t>年1月1日起至20</w:t>
      </w:r>
      <w:r>
        <w:rPr>
          <w:rFonts w:hint="eastAsia" w:ascii="仿宋_GB2312" w:hAnsi="仿宋_GB2312" w:eastAsia="仿宋_GB2312" w:cs="仿宋_GB2312"/>
          <w:b w:val="0"/>
          <w:bCs/>
          <w:color w:val="000000"/>
          <w:sz w:val="32"/>
          <w:szCs w:val="32"/>
          <w:lang w:val="en-US" w:eastAsia="zh-CN"/>
        </w:rPr>
        <w:t>21</w:t>
      </w:r>
      <w:r>
        <w:rPr>
          <w:rFonts w:hint="eastAsia" w:ascii="仿宋_GB2312" w:hAnsi="仿宋_GB2312" w:eastAsia="仿宋_GB2312" w:cs="仿宋_GB2312"/>
          <w:b w:val="0"/>
          <w:bCs/>
          <w:color w:val="000000"/>
          <w:sz w:val="32"/>
          <w:szCs w:val="32"/>
        </w:rPr>
        <w:t>年12月31日止。</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一、总体情况</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2021年霞浦街道政务公开工作坚持以习近平新时代中国特色社会主义思想为指导，深入贯彻落实《中华人民共和国政府信息公开条例》规定和要求。着力加强统一领导、统一部署、统一规范、统一推进，着力提升政府信息公开工作规范化，为社会公众提供准确及时的政府信息服务。</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420" w:firstLineChars="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（一）加强政务公开建设</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 xml:space="preserve"> </w:t>
      </w:r>
      <w:r>
        <w:rPr>
          <w:rFonts w:hint="eastAsia" w:ascii="仿宋_GB2312" w:hAnsi="仿宋_GB2312" w:eastAsia="仿宋_GB2312" w:cs="仿宋_GB2312"/>
          <w:b w:val="0"/>
          <w:bCs/>
          <w:color w:val="000000"/>
          <w:sz w:val="32"/>
          <w:szCs w:val="32"/>
          <w:lang w:val="en-US" w:eastAsia="zh-CN"/>
        </w:rPr>
        <w:tab/>
      </w:r>
      <w:r>
        <w:rPr>
          <w:rFonts w:hint="eastAsia" w:ascii="仿宋_GB2312" w:hAnsi="仿宋_GB2312" w:eastAsia="仿宋_GB2312" w:cs="仿宋_GB2312"/>
          <w:b w:val="0"/>
          <w:bCs/>
          <w:color w:val="000000"/>
          <w:sz w:val="32"/>
          <w:szCs w:val="32"/>
          <w:lang w:val="en-US" w:eastAsia="zh-CN"/>
        </w:rPr>
        <w:tab/>
      </w:r>
      <w:r>
        <w:rPr>
          <w:rFonts w:hint="eastAsia" w:ascii="仿宋_GB2312" w:hAnsi="仿宋_GB2312" w:eastAsia="仿宋_GB2312" w:cs="仿宋_GB2312"/>
          <w:b w:val="0"/>
          <w:bCs/>
          <w:color w:val="000000"/>
          <w:sz w:val="32"/>
          <w:szCs w:val="32"/>
          <w:lang w:val="en-US" w:eastAsia="zh-CN"/>
        </w:rPr>
        <w:t>根据《中华人民共和国政府信息公开条例》，坚持公开透明原则，对除法律规定需要保密之外的信息做到及时对外公开，保障社会公众对政务信息的知情权。</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加强政务信息公开日常管理和维护工作。一是完善了街道的机构概括、领导信息与内设机构信息，使机构建设展示更加明确。二是对政务公开下的各类栏目定期更新内容；对公众密切关注的政府政策、社</w:t>
      </w:r>
      <w:bookmarkStart w:id="0" w:name="_GoBack"/>
      <w:bookmarkEnd w:id="0"/>
      <w:r>
        <w:rPr>
          <w:rFonts w:hint="eastAsia" w:ascii="仿宋_GB2312" w:hAnsi="仿宋_GB2312" w:eastAsia="仿宋_GB2312" w:cs="仿宋_GB2312"/>
          <w:b w:val="0"/>
          <w:bCs/>
          <w:color w:val="000000"/>
          <w:sz w:val="32"/>
          <w:szCs w:val="32"/>
          <w:lang w:val="en-US" w:eastAsia="zh-CN"/>
        </w:rPr>
        <w:t>会保障、就业创业等方面的问题做到了及时公开最新情况；对“民生在线平台”群众留言的内容做好了跟进和反馈工作，切切实实做到了“应公开尽公开”。</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本街道在2021年度中没有发生因政务公开工作被追究责任的情况。</w:t>
      </w:r>
    </w:p>
    <w:p>
      <w:pPr>
        <w:pStyle w:val="5"/>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加大政务公开力度</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left="420" w:leftChars="0" w:firstLine="420" w:firstLineChars="0"/>
        <w:jc w:val="both"/>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本年度在政务公开网站上发布信息579篇，其中政务动态471篇，公告公示53篇，人事任免3篇，其余栏目均正常更新。本年度还加强了其他渠道信息发布，政务微博公开680篇，政务微信公开655篇，其中政务微信发布政策解读186篇，政务微博发布政策解读430篇，为公众更全面了解政策提供了平台。</w:t>
      </w:r>
    </w:p>
    <w:p>
      <w:pPr>
        <w:pStyle w:val="5"/>
        <w:keepNext w:val="0"/>
        <w:keepLines w:val="0"/>
        <w:pageBreakBefore w:val="0"/>
        <w:widowControl/>
        <w:numPr>
          <w:ilvl w:val="0"/>
          <w:numId w:val="2"/>
        </w:numPr>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提高政务公开质量</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一是做到政务信息发布前校对文中是否存在错别字、严重表述错误、敏感用词，严格根据上级要求，做到信息发布的规范化和时效性。二是根据第三方机构检查报告，对已经发布的内容进行检查，修改存在的错别字、错误用语、失效链接、外部链接等。三是做到自纠自查，定时检查之前发布的内容。目前发布的文件中，并无错别字、严重表述错误及法律法规规定不得对外公开的信息等内容。</w:t>
      </w:r>
    </w:p>
    <w:p>
      <w:pPr>
        <w:pStyle w:val="5"/>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主动公开政府信息情况</w:t>
      </w: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ascii="仿宋" w:hAnsi="仿宋" w:eastAsia="仿宋" w:cs="仿宋"/>
                <w:sz w:val="21"/>
                <w:szCs w:val="21"/>
              </w:rPr>
            </w:pPr>
            <w:r>
              <w:rPr>
                <w:rFonts w:hint="eastAsia" w:ascii="仿宋_GB2312" w:hAnsi="仿宋_GB2312" w:eastAsia="仿宋_GB2312" w:cs="仿宋_GB2312"/>
                <w:color w:val="000000"/>
                <w:kern w:val="0"/>
                <w:sz w:val="21"/>
                <w:szCs w:val="21"/>
                <w:lang w:val="en-US" w:eastAsia="zh-CN"/>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本年制发件数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行政规范性文件</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信息内容</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行政处罚</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行政强制</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信息内容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bl>
    <w:p>
      <w:pPr>
        <w:pStyle w:val="5"/>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left="0" w:leftChars="0" w:firstLine="420" w:firstLineChars="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收到和处理政府信息公开申请情况</w:t>
      </w:r>
    </w:p>
    <w:tbl>
      <w:tblPr>
        <w:tblStyle w:val="6"/>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商业</w:t>
            </w:r>
          </w:p>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科研</w:t>
            </w:r>
          </w:p>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（二）部分公开（区分处理的，只计这一情形，不计其他情形）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4.无正当理由大量反复申请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466"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678"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default" w:ascii="仿宋_GB2312" w:hAnsi="仿宋_GB2312" w:eastAsia="仿宋_GB2312" w:cs="仿宋_GB2312"/>
                <w:color w:val="000000"/>
                <w:kern w:val="0"/>
                <w:sz w:val="21"/>
                <w:szCs w:val="21"/>
                <w:lang w:val="en-US" w:eastAsia="zh-CN"/>
              </w:rPr>
              <w:t> </w:t>
            </w:r>
            <w:r>
              <w:rPr>
                <w:rFonts w:hint="eastAsia" w:ascii="仿宋_GB2312" w:hAnsi="仿宋_GB2312" w:eastAsia="仿宋_GB2312" w:cs="仿宋_GB2312"/>
                <w:color w:val="000000"/>
                <w:kern w:val="0"/>
                <w:sz w:val="21"/>
                <w:szCs w:val="21"/>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r>
              <w:rPr>
                <w:rFonts w:hint="default" w:ascii="仿宋_GB2312" w:hAnsi="仿宋_GB2312" w:eastAsia="仿宋_GB2312" w:cs="仿宋_GB2312"/>
                <w:color w:val="000000"/>
                <w:kern w:val="0"/>
                <w:sz w:val="21"/>
                <w:szCs w:val="21"/>
                <w:lang w:val="en-US" w:eastAsia="zh-CN"/>
              </w:rPr>
              <w:t> </w:t>
            </w:r>
          </w:p>
        </w:tc>
      </w:tr>
    </w:tbl>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四、政府信息公开行政复议、行政诉讼情况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结果</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其他</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尚未</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5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结果</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结果</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其他</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尚未</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结果</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结果</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其他</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尚未</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0 </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0 </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0 </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0</w:t>
            </w:r>
          </w:p>
        </w:tc>
      </w:tr>
    </w:tbl>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宋体" w:hAnsi="宋体"/>
          <w:color w:val="000000"/>
          <w:sz w:val="24"/>
        </w:rPr>
      </w:pPr>
      <w:r>
        <w:rPr>
          <w:rFonts w:hint="eastAsia" w:ascii="黑体" w:hAnsi="黑体" w:eastAsia="黑体" w:cs="黑体"/>
          <w:b w:val="0"/>
          <w:bCs/>
          <w:color w:val="000000"/>
          <w:sz w:val="32"/>
          <w:szCs w:val="32"/>
        </w:rPr>
        <w:t>五、存在的主要问题及改进情况</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（一）主要问题</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1.政府信息主动公开的时效性需要加强。</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2.政策解读的方式需要更加丰富多彩。</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3.政务信息公开宣传公众参与度需要提高。</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（二）具体解决办法和改进措施</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lang w:val="en-US" w:eastAsia="zh-CN"/>
        </w:rPr>
        <w:t>1.</w:t>
      </w:r>
      <w:r>
        <w:rPr>
          <w:rFonts w:hint="eastAsia" w:ascii="仿宋_GB2312" w:hAnsi="仿宋_GB2312" w:eastAsia="仿宋_GB2312" w:cs="仿宋_GB2312"/>
          <w:b w:val="0"/>
          <w:bCs/>
          <w:color w:val="000000"/>
          <w:sz w:val="32"/>
          <w:szCs w:val="32"/>
        </w:rPr>
        <w:t>加强</w:t>
      </w:r>
      <w:r>
        <w:rPr>
          <w:rFonts w:hint="eastAsia" w:ascii="仿宋_GB2312" w:hAnsi="仿宋_GB2312" w:eastAsia="仿宋_GB2312" w:cs="仿宋_GB2312"/>
          <w:b w:val="0"/>
          <w:bCs/>
          <w:color w:val="000000"/>
          <w:sz w:val="32"/>
          <w:szCs w:val="32"/>
          <w:lang w:eastAsia="zh-CN"/>
        </w:rPr>
        <w:t>政务信息公开</w:t>
      </w:r>
      <w:r>
        <w:rPr>
          <w:rFonts w:hint="eastAsia" w:ascii="仿宋_GB2312" w:hAnsi="仿宋_GB2312" w:eastAsia="仿宋_GB2312" w:cs="仿宋_GB2312"/>
          <w:b w:val="0"/>
          <w:bCs/>
          <w:color w:val="000000"/>
          <w:sz w:val="32"/>
          <w:szCs w:val="32"/>
        </w:rPr>
        <w:t>管理，建立健全</w:t>
      </w:r>
      <w:r>
        <w:rPr>
          <w:rFonts w:hint="eastAsia" w:ascii="仿宋_GB2312" w:hAnsi="仿宋_GB2312" w:eastAsia="仿宋_GB2312" w:cs="仿宋_GB2312"/>
          <w:b w:val="0"/>
          <w:bCs/>
          <w:color w:val="000000"/>
          <w:sz w:val="32"/>
          <w:szCs w:val="32"/>
          <w:lang w:eastAsia="zh-CN"/>
        </w:rPr>
        <w:t>信息公开</w:t>
      </w:r>
      <w:r>
        <w:rPr>
          <w:rFonts w:hint="eastAsia" w:ascii="仿宋_GB2312" w:hAnsi="仿宋_GB2312" w:eastAsia="仿宋_GB2312" w:cs="仿宋_GB2312"/>
          <w:b w:val="0"/>
          <w:bCs/>
          <w:color w:val="000000"/>
          <w:sz w:val="32"/>
          <w:szCs w:val="32"/>
        </w:rPr>
        <w:t>工作机制。加强信息审核、发布、监督等工作，促进</w:t>
      </w:r>
      <w:r>
        <w:rPr>
          <w:rFonts w:hint="eastAsia" w:ascii="仿宋_GB2312" w:hAnsi="仿宋_GB2312" w:eastAsia="仿宋_GB2312" w:cs="仿宋_GB2312"/>
          <w:b w:val="0"/>
          <w:bCs/>
          <w:color w:val="000000"/>
          <w:sz w:val="32"/>
          <w:szCs w:val="32"/>
          <w:lang w:eastAsia="zh-CN"/>
        </w:rPr>
        <w:t>信息公开</w:t>
      </w:r>
      <w:r>
        <w:rPr>
          <w:rFonts w:hint="eastAsia" w:ascii="仿宋_GB2312" w:hAnsi="仿宋_GB2312" w:eastAsia="仿宋_GB2312" w:cs="仿宋_GB2312"/>
          <w:b w:val="0"/>
          <w:bCs/>
          <w:color w:val="000000"/>
          <w:sz w:val="32"/>
          <w:szCs w:val="32"/>
        </w:rPr>
        <w:t>的规范化、常态化。</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lang w:val="en-US" w:eastAsia="zh-CN"/>
        </w:rPr>
        <w:t>2.</w:t>
      </w:r>
      <w:r>
        <w:rPr>
          <w:rFonts w:hint="eastAsia" w:ascii="仿宋_GB2312" w:hAnsi="仿宋_GB2312" w:eastAsia="仿宋_GB2312" w:cs="仿宋_GB2312"/>
          <w:b w:val="0"/>
          <w:bCs/>
          <w:color w:val="000000"/>
          <w:sz w:val="32"/>
          <w:szCs w:val="32"/>
        </w:rPr>
        <w:t>拓展多元化公开渠道。充分用好</w:t>
      </w:r>
      <w:r>
        <w:rPr>
          <w:rFonts w:hint="eastAsia" w:ascii="仿宋_GB2312" w:hAnsi="仿宋_GB2312" w:eastAsia="仿宋_GB2312" w:cs="仿宋_GB2312"/>
          <w:b w:val="0"/>
          <w:bCs/>
          <w:color w:val="000000"/>
          <w:sz w:val="32"/>
          <w:szCs w:val="32"/>
          <w:lang w:eastAsia="zh-CN"/>
        </w:rPr>
        <w:t>拭目霞浦</w:t>
      </w:r>
      <w:r>
        <w:rPr>
          <w:rFonts w:hint="eastAsia" w:ascii="仿宋_GB2312" w:hAnsi="仿宋_GB2312" w:eastAsia="仿宋_GB2312" w:cs="仿宋_GB2312"/>
          <w:b w:val="0"/>
          <w:bCs/>
          <w:color w:val="000000"/>
          <w:sz w:val="32"/>
          <w:szCs w:val="32"/>
        </w:rPr>
        <w:t>公众号、</w:t>
      </w:r>
      <w:r>
        <w:rPr>
          <w:rFonts w:hint="eastAsia" w:ascii="仿宋_GB2312" w:hAnsi="仿宋_GB2312" w:eastAsia="仿宋_GB2312" w:cs="仿宋_GB2312"/>
          <w:b w:val="0"/>
          <w:bCs/>
          <w:color w:val="000000"/>
          <w:sz w:val="32"/>
          <w:szCs w:val="32"/>
          <w:lang w:eastAsia="zh-CN"/>
        </w:rPr>
        <w:t>拭目霞浦</w:t>
      </w:r>
      <w:r>
        <w:rPr>
          <w:rFonts w:hint="eastAsia" w:ascii="仿宋_GB2312" w:hAnsi="仿宋_GB2312" w:eastAsia="仿宋_GB2312" w:cs="仿宋_GB2312"/>
          <w:b w:val="0"/>
          <w:bCs/>
          <w:color w:val="000000"/>
          <w:sz w:val="32"/>
          <w:szCs w:val="32"/>
        </w:rPr>
        <w:t>微博号、街道各类宣传等平台资源，开展全方位、多层次的信息宣传，</w:t>
      </w:r>
      <w:r>
        <w:rPr>
          <w:rFonts w:hint="eastAsia" w:ascii="仿宋_GB2312" w:hAnsi="仿宋_GB2312" w:eastAsia="仿宋_GB2312" w:cs="仿宋_GB2312"/>
          <w:b w:val="0"/>
          <w:bCs/>
          <w:color w:val="000000"/>
          <w:sz w:val="32"/>
          <w:szCs w:val="32"/>
          <w:lang w:eastAsia="zh-CN"/>
        </w:rPr>
        <w:t>做到关切“安居乐业”，强化“热点民生”</w:t>
      </w:r>
      <w:r>
        <w:rPr>
          <w:rFonts w:hint="eastAsia" w:ascii="仿宋_GB2312" w:hAnsi="仿宋_GB2312" w:eastAsia="仿宋_GB2312" w:cs="仿宋_GB2312"/>
          <w:b w:val="0"/>
          <w:bCs/>
          <w:color w:val="000000"/>
          <w:sz w:val="32"/>
          <w:szCs w:val="32"/>
        </w:rPr>
        <w:t>。</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六、其他需要报告的事项</w:t>
      </w:r>
    </w:p>
    <w:p>
      <w:pPr>
        <w:ind w:firstLine="420" w:firstLineChars="0"/>
        <w:jc w:val="left"/>
        <w:rPr>
          <w:rFonts w:hint="eastAsia" w:ascii="仿宋_GB2312" w:hAnsi="仿宋_GB2312" w:eastAsia="仿宋_GB2312"/>
          <w:color w:val="000000"/>
          <w:sz w:val="32"/>
        </w:rPr>
      </w:pPr>
      <w:r>
        <w:rPr>
          <w:rFonts w:hint="eastAsia" w:ascii="仿宋_GB2312" w:hAnsi="仿宋_GB2312" w:eastAsia="仿宋_GB2312" w:cs="仿宋_GB2312"/>
          <w:color w:val="000000"/>
          <w:sz w:val="32"/>
          <w:szCs w:val="32"/>
          <w:lang w:eastAsia="zh-CN"/>
        </w:rPr>
        <w:t>霞浦街道2021年度未收到政府信息公开申请，故未产生任何有关政府信息公开信息处理事项及费用，特此说明。</w:t>
      </w:r>
    </w:p>
    <w:p/>
    <w:p>
      <w:pPr>
        <w:rPr>
          <w:rFonts w:hint="eastAsia"/>
        </w:rPr>
      </w:pPr>
    </w:p>
    <w:sectPr>
      <w:footerReference r:id="rId4" w:type="default"/>
      <w:pgSz w:w="11906" w:h="16838"/>
      <w:pgMar w:top="1871" w:right="1531" w:bottom="1531" w:left="1531" w:header="851" w:footer="1417" w:gutter="0"/>
      <w:pgBorders>
        <w:top w:val="none" w:sz="0" w:space="0"/>
        <w:left w:val="none" w:sz="0" w:space="0"/>
        <w:bottom w:val="none" w:sz="0" w:space="0"/>
        <w:right w:val="none" w:sz="0" w:space="0"/>
      </w:pgBorders>
      <w:pgNumType w:fmt="numberInDash"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DBD72F"/>
    <w:multiLevelType w:val="singleLevel"/>
    <w:tmpl w:val="DEDBD72F"/>
    <w:lvl w:ilvl="0" w:tentative="0">
      <w:start w:val="2"/>
      <w:numFmt w:val="chineseCounting"/>
      <w:suff w:val="nothing"/>
      <w:lvlText w:val="（%1）"/>
      <w:lvlJc w:val="left"/>
      <w:rPr>
        <w:rFonts w:hint="eastAsia"/>
      </w:rPr>
    </w:lvl>
  </w:abstractNum>
  <w:abstractNum w:abstractNumId="1">
    <w:nsid w:val="FED6941C"/>
    <w:multiLevelType w:val="singleLevel"/>
    <w:tmpl w:val="FED6941C"/>
    <w:lvl w:ilvl="0" w:tentative="0">
      <w:start w:val="3"/>
      <w:numFmt w:val="chineseCounting"/>
      <w:suff w:val="nothing"/>
      <w:lvlText w:val="（%1）"/>
      <w:lvlJc w:val="left"/>
      <w:rPr>
        <w:rFonts w:hint="eastAsia"/>
      </w:rPr>
    </w:lvl>
  </w:abstractNum>
  <w:abstractNum w:abstractNumId="2">
    <w:nsid w:val="439A3C0C"/>
    <w:multiLevelType w:val="singleLevel"/>
    <w:tmpl w:val="439A3C0C"/>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2D325C"/>
    <w:rsid w:val="031E60EE"/>
    <w:rsid w:val="06905404"/>
    <w:rsid w:val="092E307E"/>
    <w:rsid w:val="102D325C"/>
    <w:rsid w:val="15D72EF0"/>
    <w:rsid w:val="192C2DA6"/>
    <w:rsid w:val="1B9D719C"/>
    <w:rsid w:val="2190571A"/>
    <w:rsid w:val="297A0AD8"/>
    <w:rsid w:val="29EA5BD4"/>
    <w:rsid w:val="2A9F68E4"/>
    <w:rsid w:val="2C0D7366"/>
    <w:rsid w:val="2D180391"/>
    <w:rsid w:val="3E1D2385"/>
    <w:rsid w:val="3F12102F"/>
    <w:rsid w:val="44AC5EFF"/>
    <w:rsid w:val="4AF27B6F"/>
    <w:rsid w:val="4CD60459"/>
    <w:rsid w:val="4D207996"/>
    <w:rsid w:val="60621079"/>
    <w:rsid w:val="69C062DB"/>
    <w:rsid w:val="6A901E6F"/>
    <w:rsid w:val="6C2351C2"/>
    <w:rsid w:val="6CE855F8"/>
    <w:rsid w:val="70862219"/>
    <w:rsid w:val="73D56547"/>
    <w:rsid w:val="74887150"/>
    <w:rsid w:val="77AE1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spacing w:beforeLines="0" w:afterLines="0"/>
      <w:jc w:val="both"/>
    </w:pPr>
    <w:rPr>
      <w:rFonts w:hint="default" w:ascii="Times New Roman" w:hAnsi="Times New Roman" w:eastAsia="宋体" w:cs="Times New Roman"/>
      <w:kern w:val="2"/>
      <w:sz w:val="21"/>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2021-01-11T02:17:00Z</dcterms:created>
  <dc:creator>Administrator</dc:creator>
  <cp:lastModifiedBy>   涸唯</cp:lastModifiedBy>
  <dcterms:modified xsi:type="dcterms:W3CDTF">2022-01-25T02:58:57Z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9B4E7B31D90F4E6AB4C4603E643D5A75</vt:lpwstr>
  </property>
</Properties>
</file>