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val="0"/>
          <w:color w:val="auto"/>
          <w:kern w:val="0"/>
          <w:sz w:val="44"/>
          <w:szCs w:val="44"/>
          <w:lang w:val="en-US" w:eastAsia="zh-CN" w:bidi="ar"/>
        </w:rPr>
      </w:pPr>
      <w:r>
        <w:rPr>
          <w:rFonts w:hint="eastAsia" w:ascii="方正小标宋简体" w:hAnsi="方正小标宋简体" w:eastAsia="方正小标宋简体" w:cs="方正小标宋简体"/>
          <w:b w:val="0"/>
          <w:color w:val="auto"/>
          <w:kern w:val="0"/>
          <w:sz w:val="44"/>
          <w:szCs w:val="44"/>
          <w:lang w:val="en-US" w:eastAsia="zh-CN" w:bidi="ar"/>
        </w:rPr>
        <w:t>2022年度北仑区综合行政执法局</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val="0"/>
          <w:color w:val="auto"/>
          <w:kern w:val="0"/>
          <w:sz w:val="44"/>
          <w:szCs w:val="44"/>
          <w:lang w:val="en-US" w:eastAsia="zh-CN" w:bidi="ar"/>
        </w:rPr>
      </w:pPr>
      <w:r>
        <w:rPr>
          <w:rFonts w:hint="eastAsia" w:ascii="方正小标宋简体" w:hAnsi="方正小标宋简体" w:eastAsia="方正小标宋简体" w:cs="方正小标宋简体"/>
          <w:b w:val="0"/>
          <w:color w:val="auto"/>
          <w:kern w:val="0"/>
          <w:sz w:val="44"/>
          <w:szCs w:val="44"/>
          <w:lang w:val="en-US" w:eastAsia="zh-CN" w:bidi="ar"/>
        </w:rPr>
        <w:t>政府信息公开工作年度报告</w:t>
      </w:r>
    </w:p>
    <w:p>
      <w:pPr>
        <w:pStyle w:val="2"/>
        <w:rPr>
          <w:rFonts w:hint="eastAsia"/>
          <w:lang w:val="en-US" w:eastAsia="zh-CN"/>
        </w:rPr>
      </w:pPr>
    </w:p>
    <w:p>
      <w:pPr>
        <w:pStyle w:val="2"/>
        <w:rPr>
          <w:rFonts w:hint="eastAsia"/>
          <w:lang w:val="en-US" w:eastAsia="zh-CN"/>
        </w:rPr>
      </w:pP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default" w:ascii="仿宋_GB2312" w:hAnsi="仿宋_GB2312" w:eastAsia="仿宋_GB2312" w:cs="仿宋_GB2312"/>
          <w:b w:val="0"/>
          <w:color w:val="auto"/>
          <w:sz w:val="32"/>
          <w:szCs w:val="32"/>
          <w:lang w:val="en-US" w:eastAsia="zh-CN"/>
        </w:rPr>
      </w:pPr>
      <w:r>
        <w:rPr>
          <w:rFonts w:hint="eastAsia" w:ascii="仿宋_GB2312" w:hAnsi="仿宋_GB2312" w:eastAsia="仿宋_GB2312" w:cs="仿宋_GB2312"/>
          <w:b w:val="0"/>
          <w:color w:val="auto"/>
          <w:sz w:val="32"/>
          <w:szCs w:val="32"/>
          <w:lang w:val="en-US" w:eastAsia="zh-CN"/>
        </w:rPr>
        <w:t>今年以来，北仑区综合行政执法局深入贯彻落实党中央、国务院的重大决策部署和省、市、区各项工作要求，全面贯彻执行《中华人民共和国政府信息公开条例》，扎实推进政府信息公开工作，不断提高群众的参与度、知晓度和满意度。现将2022年工作情况报告如下：</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黑体" w:hAnsi="黑体" w:eastAsia="黑体" w:cs="黑体"/>
          <w:b w:val="0"/>
          <w:color w:val="auto"/>
          <w:sz w:val="32"/>
          <w:szCs w:val="32"/>
          <w:lang w:val="en-US" w:eastAsia="zh-CN"/>
        </w:rPr>
      </w:pPr>
      <w:r>
        <w:rPr>
          <w:rFonts w:hint="eastAsia" w:ascii="黑体" w:hAnsi="黑体" w:eastAsia="黑体" w:cs="黑体"/>
          <w:b w:val="0"/>
          <w:color w:val="auto"/>
          <w:sz w:val="32"/>
          <w:szCs w:val="32"/>
          <w:lang w:val="en-US" w:eastAsia="zh-CN"/>
        </w:rPr>
        <w:t>一、总体情况</w:t>
      </w:r>
    </w:p>
    <w:p>
      <w:pPr>
        <w:pStyle w:val="4"/>
        <w:keepNext w:val="0"/>
        <w:keepLines w:val="0"/>
        <w:pageBreakBefore w:val="0"/>
        <w:widowControl/>
        <w:numPr>
          <w:ilvl w:val="0"/>
          <w:numId w:val="0"/>
        </w:numPr>
        <w:suppressLineNumbers w:val="0"/>
        <w:pBdr>
          <w:bottom w:val="none" w:color="auto" w:sz="0" w:space="0"/>
        </w:pBdr>
        <w:kinsoku/>
        <w:wordWrap/>
        <w:overflowPunct/>
        <w:topLinePunct w:val="0"/>
        <w:autoSpaceDE/>
        <w:autoSpaceDN/>
        <w:bidi w:val="0"/>
        <w:adjustRightInd/>
        <w:snapToGrid/>
        <w:spacing w:beforeAutospacing="0" w:afterAutospacing="0" w:line="600" w:lineRule="exact"/>
        <w:ind w:right="0" w:rightChars="0" w:firstLine="643"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楷体_GB2312" w:hAnsi="楷体_GB2312" w:eastAsia="楷体_GB2312" w:cs="楷体_GB2312"/>
          <w:b/>
          <w:bCs/>
          <w:color w:val="auto"/>
          <w:sz w:val="32"/>
          <w:szCs w:val="32"/>
          <w:lang w:val="en-US" w:eastAsia="zh-CN"/>
        </w:rPr>
        <w:t>（一）及时主动公开。</w:t>
      </w:r>
      <w:r>
        <w:rPr>
          <w:rFonts w:hint="eastAsia" w:ascii="仿宋_GB2312" w:hAnsi="仿宋_GB2312" w:eastAsia="仿宋_GB2312" w:cs="仿宋_GB2312"/>
          <w:b w:val="0"/>
          <w:bCs w:val="0"/>
          <w:color w:val="auto"/>
          <w:sz w:val="32"/>
          <w:szCs w:val="32"/>
          <w:lang w:val="en-US" w:eastAsia="zh-CN"/>
        </w:rPr>
        <w:t>2022年，区综合行政执法局根据区政府统一安排，结合部门职责和公共服务事项，通过政府网站、政务微博、政务微信等不同渠道，积极做好政府信息公开工作。</w:t>
      </w:r>
      <w:r>
        <w:rPr>
          <w:rFonts w:hint="eastAsia" w:ascii="仿宋_GB2312" w:hAnsi="仿宋_GB2312" w:eastAsia="仿宋_GB2312" w:cs="仿宋_GB2312"/>
          <w:b w:val="0"/>
          <w:bCs w:val="0"/>
          <w:color w:val="auto"/>
          <w:sz w:val="32"/>
          <w:szCs w:val="32"/>
          <w:highlight w:val="none"/>
          <w:lang w:val="en-US" w:eastAsia="zh-CN"/>
        </w:rPr>
        <w:t>主动发布政务微博18条、政务微信21条，通过局网站</w:t>
      </w:r>
      <w:r>
        <w:rPr>
          <w:rFonts w:hint="eastAsia" w:ascii="仿宋_GB2312" w:hAnsi="仿宋_GB2312" w:eastAsia="仿宋_GB2312" w:cs="仿宋_GB2312"/>
          <w:b w:val="0"/>
          <w:bCs w:val="0"/>
          <w:color w:val="auto"/>
          <w:sz w:val="32"/>
          <w:szCs w:val="32"/>
          <w:lang w:val="en-US" w:eastAsia="zh-CN"/>
        </w:rPr>
        <w:t>及时准确</w:t>
      </w:r>
      <w:r>
        <w:rPr>
          <w:rFonts w:hint="eastAsia" w:ascii="仿宋_GB2312" w:hAnsi="仿宋_GB2312" w:eastAsia="仿宋_GB2312" w:cs="仿宋_GB2312"/>
          <w:b w:val="0"/>
          <w:bCs w:val="0"/>
          <w:color w:val="auto"/>
          <w:sz w:val="32"/>
          <w:szCs w:val="32"/>
          <w:highlight w:val="none"/>
          <w:lang w:val="en-US" w:eastAsia="zh-CN"/>
        </w:rPr>
        <w:t>公开信息795条，其中部门文件5条、部门预决算类信息16条、财务绩效类信息2条、建议提案类19条、工作动态类信息107条、公告公示类658条。</w:t>
      </w:r>
    </w:p>
    <w:p>
      <w:pPr>
        <w:pStyle w:val="4"/>
        <w:keepNext w:val="0"/>
        <w:keepLines w:val="0"/>
        <w:pageBreakBefore w:val="0"/>
        <w:widowControl/>
        <w:numPr>
          <w:ilvl w:val="0"/>
          <w:numId w:val="0"/>
        </w:numPr>
        <w:suppressLineNumbers w:val="0"/>
        <w:pBdr>
          <w:bottom w:val="none" w:color="auto" w:sz="0" w:space="0"/>
        </w:pBdr>
        <w:kinsoku/>
        <w:wordWrap/>
        <w:overflowPunct/>
        <w:topLinePunct w:val="0"/>
        <w:autoSpaceDE/>
        <w:autoSpaceDN/>
        <w:bidi w:val="0"/>
        <w:adjustRightInd/>
        <w:snapToGrid/>
        <w:spacing w:beforeAutospacing="0" w:afterAutospacing="0" w:line="600" w:lineRule="exact"/>
        <w:ind w:right="0" w:rightChars="0" w:firstLine="643"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（二）做好依申请公开。</w:t>
      </w: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b w:val="0"/>
          <w:bCs w:val="0"/>
          <w:color w:val="auto"/>
          <w:sz w:val="32"/>
          <w:szCs w:val="32"/>
          <w:lang w:val="en-US" w:eastAsia="zh-CN"/>
        </w:rPr>
        <w:t>畅通受理渠道，完善工作流程，安排专人负责日常工作，第一时间接收公众申请，同时做好后续跟踪处置工作。</w:t>
      </w:r>
      <w:r>
        <w:rPr>
          <w:rFonts w:hint="eastAsia" w:ascii="仿宋_GB2312" w:hAnsi="仿宋_GB2312" w:eastAsia="仿宋_GB2312" w:cs="仿宋_GB2312"/>
          <w:b/>
          <w:bCs/>
          <w:color w:val="auto"/>
          <w:sz w:val="32"/>
          <w:szCs w:val="32"/>
          <w:lang w:val="en-US" w:eastAsia="zh-CN"/>
        </w:rPr>
        <w:t>二是</w:t>
      </w:r>
      <w:r>
        <w:rPr>
          <w:rFonts w:hint="eastAsia" w:ascii="仿宋_GB2312" w:hAnsi="仿宋_GB2312" w:eastAsia="仿宋_GB2312" w:cs="仿宋_GB2312"/>
          <w:b w:val="0"/>
          <w:bCs w:val="0"/>
          <w:color w:val="auto"/>
          <w:sz w:val="32"/>
          <w:szCs w:val="32"/>
          <w:lang w:val="en-US" w:eastAsia="zh-CN"/>
        </w:rPr>
        <w:t>制作依申请公开政府信息处理流程图，明确依申请公开办事程序、时限、答复规范等。</w:t>
      </w:r>
      <w:r>
        <w:rPr>
          <w:rFonts w:hint="eastAsia" w:ascii="仿宋_GB2312" w:hAnsi="仿宋_GB2312" w:eastAsia="仿宋_GB2312" w:cs="仿宋_GB2312"/>
          <w:b/>
          <w:bCs/>
          <w:color w:val="auto"/>
          <w:sz w:val="32"/>
          <w:szCs w:val="32"/>
          <w:lang w:val="en-US" w:eastAsia="zh-CN"/>
        </w:rPr>
        <w:t>三是</w:t>
      </w:r>
      <w:r>
        <w:rPr>
          <w:rFonts w:hint="eastAsia" w:ascii="仿宋_GB2312" w:hAnsi="仿宋_GB2312" w:eastAsia="仿宋_GB2312" w:cs="仿宋_GB2312"/>
          <w:b w:val="0"/>
          <w:bCs w:val="0"/>
          <w:color w:val="auto"/>
          <w:sz w:val="32"/>
          <w:szCs w:val="32"/>
          <w:lang w:val="en-US" w:eastAsia="zh-CN"/>
        </w:rPr>
        <w:t>改进完善申请办理方式，加强与申请人沟通，做好解疑释惑工作，引导公众正确行使申请权和救济权。2022年累计收到依申请公开2件，已按照规定程序和要求及时答复申请人。</w:t>
      </w:r>
    </w:p>
    <w:p>
      <w:pPr>
        <w:pStyle w:val="4"/>
        <w:keepNext w:val="0"/>
        <w:keepLines w:val="0"/>
        <w:pageBreakBefore w:val="0"/>
        <w:widowControl/>
        <w:numPr>
          <w:ilvl w:val="0"/>
          <w:numId w:val="0"/>
        </w:numPr>
        <w:suppressLineNumbers w:val="0"/>
        <w:pBdr>
          <w:bottom w:val="none" w:color="auto" w:sz="0" w:space="0"/>
        </w:pBdr>
        <w:kinsoku/>
        <w:wordWrap/>
        <w:overflowPunct/>
        <w:topLinePunct w:val="0"/>
        <w:autoSpaceDE/>
        <w:autoSpaceDN/>
        <w:bidi w:val="0"/>
        <w:adjustRightInd/>
        <w:snapToGrid/>
        <w:spacing w:beforeAutospacing="0" w:afterAutospacing="0" w:line="600" w:lineRule="exact"/>
        <w:ind w:right="0" w:rightChars="0" w:firstLine="643" w:firstLineChars="200"/>
        <w:jc w:val="left"/>
        <w:textAlignment w:val="auto"/>
        <w:rPr>
          <w:rFonts w:hint="eastAsia" w:ascii="仿宋_GB2312" w:hAnsi="仿宋_GB2312" w:eastAsia="仿宋_GB2312" w:cs="仿宋_GB2312"/>
          <w:b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（三）落实政府信息管理。</w:t>
      </w: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b w:val="0"/>
          <w:color w:val="auto"/>
          <w:sz w:val="32"/>
          <w:szCs w:val="32"/>
          <w:lang w:val="en-US" w:eastAsia="zh-CN"/>
        </w:rPr>
        <w:t>按照“谁制作、谁发布、谁负责”实行“先审查、后公开”和“一事一审”原则。</w:t>
      </w:r>
      <w:r>
        <w:rPr>
          <w:rFonts w:hint="eastAsia" w:ascii="仿宋_GB2312" w:hAnsi="仿宋_GB2312" w:eastAsia="仿宋_GB2312" w:cs="仿宋_GB2312"/>
          <w:b/>
          <w:bCs/>
          <w:color w:val="auto"/>
          <w:sz w:val="32"/>
          <w:szCs w:val="32"/>
          <w:lang w:val="en-US" w:eastAsia="zh-CN"/>
        </w:rPr>
        <w:t>二是</w:t>
      </w:r>
      <w:r>
        <w:rPr>
          <w:rFonts w:hint="eastAsia" w:ascii="仿宋_GB2312" w:hAnsi="仿宋_GB2312" w:eastAsia="仿宋_GB2312" w:cs="仿宋_GB2312"/>
          <w:b w:val="0"/>
          <w:color w:val="auto"/>
          <w:sz w:val="32"/>
          <w:szCs w:val="32"/>
          <w:lang w:val="en-US" w:eastAsia="zh-CN"/>
        </w:rPr>
        <w:t>严格信息类型，明确禁止公开类信息、可不予公开类信息、主动公开类信息与依申请公开类信息。</w:t>
      </w:r>
      <w:r>
        <w:rPr>
          <w:rFonts w:hint="eastAsia" w:ascii="仿宋_GB2312" w:hAnsi="仿宋_GB2312" w:eastAsia="仿宋_GB2312" w:cs="仿宋_GB2312"/>
          <w:b/>
          <w:bCs/>
          <w:color w:val="auto"/>
          <w:sz w:val="32"/>
          <w:szCs w:val="32"/>
          <w:lang w:val="en-US" w:eastAsia="zh-CN"/>
        </w:rPr>
        <w:t>三是</w:t>
      </w:r>
      <w:r>
        <w:rPr>
          <w:rFonts w:hint="eastAsia" w:ascii="仿宋_GB2312" w:hAnsi="仿宋_GB2312" w:eastAsia="仿宋_GB2312" w:cs="仿宋_GB2312"/>
          <w:b w:val="0"/>
          <w:color w:val="auto"/>
          <w:sz w:val="32"/>
          <w:szCs w:val="32"/>
          <w:lang w:val="en-US" w:eastAsia="zh-CN"/>
        </w:rPr>
        <w:t>严格内容审核、时效性审核和保密审查。</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val="0"/>
          <w:color w:val="auto"/>
          <w:sz w:val="32"/>
          <w:szCs w:val="32"/>
          <w:lang w:val="en-US" w:eastAsia="zh-CN"/>
        </w:rPr>
        <w:t>是规范发布程序，按照草拟、审核、录入、检查、发布，确保发布信息质量。</w:t>
      </w:r>
    </w:p>
    <w:p>
      <w:pPr>
        <w:pStyle w:val="4"/>
        <w:keepNext w:val="0"/>
        <w:keepLines w:val="0"/>
        <w:pageBreakBefore w:val="0"/>
        <w:widowControl/>
        <w:numPr>
          <w:ilvl w:val="0"/>
          <w:numId w:val="0"/>
        </w:numPr>
        <w:suppressLineNumbers w:val="0"/>
        <w:pBdr>
          <w:bottom w:val="none" w:color="auto" w:sz="0" w:space="0"/>
        </w:pBdr>
        <w:kinsoku/>
        <w:wordWrap/>
        <w:overflowPunct/>
        <w:topLinePunct w:val="0"/>
        <w:autoSpaceDE/>
        <w:autoSpaceDN/>
        <w:bidi w:val="0"/>
        <w:adjustRightInd/>
        <w:snapToGrid/>
        <w:spacing w:beforeAutospacing="0" w:afterAutospacing="0" w:line="600" w:lineRule="exact"/>
        <w:ind w:right="0" w:rightChars="0" w:firstLine="643"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（四）完善信息公开平台建设。</w:t>
      </w:r>
      <w:r>
        <w:rPr>
          <w:rFonts w:hint="eastAsia" w:ascii="仿宋_GB2312" w:hAnsi="仿宋_GB2312" w:eastAsia="仿宋_GB2312" w:cs="仿宋_GB2312"/>
          <w:b w:val="0"/>
          <w:bCs w:val="0"/>
          <w:color w:val="auto"/>
          <w:sz w:val="32"/>
          <w:szCs w:val="32"/>
          <w:lang w:val="en-US" w:eastAsia="zh-CN"/>
        </w:rPr>
        <w:t>进一步优化网站功能、栏目设置，设立法规文件、计划规划、行政处罚、财务信息、建议提案、公告公示、政务动态等栏目，着力将局网站打造成更加全面的政务信息平台、更加权威的政策发布解读平台、更加及时回应民生关切的便民服务平台。</w:t>
      </w:r>
    </w:p>
    <w:p>
      <w:pPr>
        <w:pStyle w:val="4"/>
        <w:keepNext w:val="0"/>
        <w:keepLines w:val="0"/>
        <w:pageBreakBefore w:val="0"/>
        <w:widowControl/>
        <w:numPr>
          <w:ilvl w:val="0"/>
          <w:numId w:val="0"/>
        </w:numPr>
        <w:suppressLineNumbers w:val="0"/>
        <w:pBdr>
          <w:bottom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（五）加强监督保障。</w:t>
      </w:r>
      <w:r>
        <w:rPr>
          <w:rFonts w:hint="eastAsia" w:ascii="仿宋_GB2312" w:hAnsi="仿宋_GB2312" w:eastAsia="仿宋_GB2312" w:cs="仿宋_GB2312"/>
          <w:b w:val="0"/>
          <w:bCs w:val="0"/>
          <w:color w:val="auto"/>
          <w:sz w:val="32"/>
          <w:szCs w:val="32"/>
          <w:lang w:val="en-US" w:eastAsia="zh-CN"/>
        </w:rPr>
        <w:t>成立了局主要领导任组长、分管领导任副组长、各科室负责人为成员的信息公开工作领导小组。制定《区综合行政执法局信息公开责任分解方案》，明确部门职责和任务，形成齐抓共管的工作合力。全年没有发生因政务公开工作被追究责任的情况。</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黑体" w:hAnsi="黑体" w:eastAsia="黑体"/>
          <w:color w:val="auto"/>
          <w:sz w:val="32"/>
        </w:rPr>
      </w:pPr>
      <w:r>
        <w:rPr>
          <w:rFonts w:hint="eastAsia" w:ascii="黑体" w:hAnsi="黑体" w:eastAsia="黑体" w:cs="黑体"/>
          <w:b w:val="0"/>
          <w:color w:val="auto"/>
          <w:sz w:val="32"/>
          <w:szCs w:val="32"/>
          <w:lang w:val="en-US" w:eastAsia="zh-CN"/>
        </w:rPr>
        <w:t>二、主动公开政府信息情况</w:t>
      </w:r>
    </w:p>
    <w:tbl>
      <w:tblPr>
        <w:tblStyle w:val="5"/>
        <w:tblW w:w="87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9" w:type="dxa"/>
            <w:tcBorders>
              <w:top w:val="nil"/>
              <w:left w:val="nil"/>
              <w:bottom w:val="single" w:color="auto" w:sz="4"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8"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1</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4" w:space="0"/>
              <w:left w:val="single" w:color="auto" w:sz="4" w:space="0"/>
              <w:bottom w:val="single" w:color="auto" w:sz="4" w:space="0"/>
              <w:right w:val="single" w:color="auto" w:sz="4"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4"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734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4681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4"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行政强制</w:t>
            </w:r>
          </w:p>
        </w:tc>
        <w:tc>
          <w:tcPr>
            <w:tcW w:w="6565" w:type="dxa"/>
            <w:gridSpan w:val="3"/>
            <w:tcBorders>
              <w:top w:val="single" w:color="auto" w:sz="4"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4" w:space="0"/>
              <w:bottom w:val="single" w:color="auto" w:sz="4" w:space="0"/>
              <w:right w:val="single" w:color="auto" w:sz="4"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4" w:space="0"/>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default" w:ascii="宋体" w:hAnsi="宋体" w:eastAsia="宋体" w:cs="宋体"/>
                <w:color w:val="333333"/>
                <w:sz w:val="21"/>
                <w:szCs w:val="21"/>
                <w:lang w:val="en-US"/>
              </w:rPr>
            </w:pPr>
            <w:r>
              <w:rPr>
                <w:rFonts w:hint="eastAsia" w:ascii="宋体" w:hAnsi="宋体" w:eastAsia="宋体" w:cs="宋体"/>
                <w:color w:val="000000"/>
                <w:kern w:val="0"/>
                <w:sz w:val="20"/>
                <w:szCs w:val="20"/>
                <w:lang w:val="en-US" w:eastAsia="zh-CN" w:bidi="ar"/>
              </w:rPr>
              <w:t>421.14</w:t>
            </w:r>
          </w:p>
        </w:tc>
      </w:tr>
    </w:tbl>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黑体" w:hAnsi="黑体" w:eastAsia="黑体" w:cs="黑体"/>
          <w:b w:val="0"/>
          <w:color w:val="auto"/>
          <w:sz w:val="32"/>
          <w:szCs w:val="32"/>
          <w:lang w:val="en-US" w:eastAsia="zh-CN"/>
        </w:rPr>
      </w:pPr>
      <w:r>
        <w:rPr>
          <w:rFonts w:hint="eastAsia" w:ascii="黑体" w:hAnsi="黑体" w:eastAsia="黑体" w:cs="黑体"/>
          <w:b w:val="0"/>
          <w:color w:val="auto"/>
          <w:sz w:val="32"/>
          <w:szCs w:val="32"/>
          <w:lang w:val="en-US" w:eastAsia="zh-CN"/>
        </w:rPr>
        <w:t>三、收到和处理政府信息公开申请情况</w:t>
      </w:r>
    </w:p>
    <w:tbl>
      <w:tblPr>
        <w:tblStyle w:val="5"/>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1028"/>
        <w:gridCol w:w="900"/>
        <w:gridCol w:w="2543"/>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楷体" w:hAnsi="楷体" w:eastAsia="楷体" w:cs="楷体"/>
                <w:color w:val="333333"/>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b/>
                <w:bCs/>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2</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restart"/>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三、本年度办理结果</w:t>
            </w:r>
          </w:p>
        </w:tc>
        <w:tc>
          <w:tcPr>
            <w:tcW w:w="3443"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443"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（二）部分公开</w:t>
            </w:r>
            <w:r>
              <w:rPr>
                <w:rFonts w:hint="eastAsia" w:ascii="楷体" w:hAnsi="楷体" w:eastAsia="楷体" w:cs="楷体"/>
                <w:color w:val="333333"/>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（三）不予公开</w:t>
            </w: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90" w:hRule="atLeast"/>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（四）无法提供</w:t>
            </w: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（五）不予处理</w:t>
            </w: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4"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1028" w:type="dxa"/>
            <w:vMerge w:val="continue"/>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single" w:color="auto" w:sz="4" w:space="0"/>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single" w:color="auto" w:sz="4" w:space="0"/>
              <w:left w:val="nil"/>
              <w:bottom w:val="outset" w:color="auto" w:sz="6"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（六）其他处理</w:t>
            </w:r>
          </w:p>
        </w:tc>
        <w:tc>
          <w:tcPr>
            <w:tcW w:w="2543" w:type="dxa"/>
            <w:tcBorders>
              <w:top w:val="single" w:color="auto" w:sz="4" w:space="0"/>
              <w:left w:val="single" w:color="auto" w:sz="4"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outset" w:color="auto" w:sz="6" w:space="0"/>
              <w:left w:val="nil"/>
              <w:bottom w:val="outset"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outset" w:color="auto" w:sz="6"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288" w:hRule="atLeast"/>
          <w:jc w:val="center"/>
        </w:trPr>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443" w:type="dxa"/>
            <w:gridSpan w:val="2"/>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b/>
                <w:bCs/>
                <w:color w:val="333333"/>
                <w:kern w:val="0"/>
                <w:sz w:val="20"/>
                <w:szCs w:val="20"/>
                <w:lang w:val="en-US" w:eastAsia="zh-CN" w:bidi="ar"/>
              </w:rPr>
              <w:t>（七）总计</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四、结转下年度继续办理</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bCs/>
                <w:color w:val="333333"/>
                <w:sz w:val="21"/>
                <w:szCs w:val="21"/>
                <w:lang w:val="en-US" w:eastAsia="zh-CN"/>
              </w:rPr>
            </w:pPr>
            <w:r>
              <w:rPr>
                <w:rFonts w:hint="eastAsia" w:ascii="仿宋_GB2312" w:hAnsi="仿宋_GB2312" w:eastAsia="仿宋_GB2312" w:cs="仿宋_GB2312"/>
                <w:b/>
                <w:bCs/>
                <w:color w:val="333333"/>
                <w:sz w:val="21"/>
                <w:szCs w:val="21"/>
                <w:lang w:val="en-US" w:eastAsia="zh-CN"/>
              </w:rPr>
              <w:t>1</w:t>
            </w:r>
          </w:p>
        </w:tc>
      </w:tr>
    </w:tbl>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宋体" w:hAnsi="宋体" w:eastAsia="宋体" w:cs="宋体"/>
          <w:b w:val="0"/>
          <w:i w:val="0"/>
          <w:caps w:val="0"/>
          <w:color w:val="auto"/>
          <w:spacing w:val="0"/>
          <w:sz w:val="24"/>
          <w:szCs w:val="24"/>
        </w:rPr>
      </w:pPr>
      <w:r>
        <w:rPr>
          <w:rFonts w:hint="eastAsia" w:ascii="黑体" w:hAnsi="黑体" w:eastAsia="黑体" w:cs="黑体"/>
          <w:b w:val="0"/>
          <w:color w:val="auto"/>
          <w:sz w:val="32"/>
          <w:szCs w:val="32"/>
          <w:lang w:val="en-US" w:eastAsia="zh-CN"/>
        </w:rPr>
        <w:t>四、政府信息公开行政复议、行政诉讼情况</w:t>
      </w:r>
    </w:p>
    <w:tbl>
      <w:tblPr>
        <w:tblStyle w:val="5"/>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3</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1</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6</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7</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1</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333333"/>
                <w:sz w:val="21"/>
                <w:szCs w:val="21"/>
              </w:rPr>
            </w:pPr>
            <w:r>
              <w:rPr>
                <w:rFonts w:hint="eastAsia" w:ascii="黑体" w:hAnsi="宋体" w:eastAsia="黑体" w:cs="黑体"/>
                <w:color w:val="333333"/>
                <w:kern w:val="2"/>
                <w:sz w:val="20"/>
                <w:szCs w:val="20"/>
                <w:lang w:val="en-US" w:eastAsia="zh-CN" w:bidi="ar"/>
              </w:rPr>
              <w:t>1</w:t>
            </w:r>
          </w:p>
        </w:tc>
      </w:tr>
    </w:tbl>
    <w:p>
      <w:pPr>
        <w:spacing w:line="580" w:lineRule="exact"/>
        <w:ind w:firstLine="640" w:firstLineChars="200"/>
        <w:rPr>
          <w:rFonts w:hint="eastAsia" w:ascii="黑体" w:hAnsi="仿宋_GB2312" w:eastAsia="黑体"/>
          <w:sz w:val="32"/>
        </w:rPr>
      </w:pPr>
      <w:r>
        <w:rPr>
          <w:rFonts w:hint="eastAsia" w:ascii="黑体" w:hAnsi="仿宋_GB2312" w:eastAsia="黑体"/>
          <w:sz w:val="32"/>
        </w:rPr>
        <w:t>五、存在的主要问题及改进情况</w:t>
      </w:r>
    </w:p>
    <w:p>
      <w:pPr>
        <w:pStyle w:val="2"/>
        <w:ind w:firstLine="627" w:firstLineChars="200"/>
        <w:rPr>
          <w:rFonts w:hint="eastAsia" w:ascii="仿宋_GB2312" w:eastAsia="仿宋_GB2312" w:hAnsiTheme="minorHAnsi" w:cstheme="minorBidi"/>
          <w:i w:val="0"/>
          <w:snapToGrid w:val="0"/>
          <w:spacing w:val="-4"/>
          <w:kern w:val="2"/>
          <w:sz w:val="32"/>
          <w:szCs w:val="32"/>
          <w:highlight w:val="none"/>
          <w:lang w:val="en-US" w:eastAsia="zh-CN" w:bidi="ar-SA"/>
        </w:rPr>
      </w:pPr>
      <w:r>
        <w:rPr>
          <w:rFonts w:hint="eastAsia" w:ascii="仿宋_GB2312" w:eastAsia="仿宋_GB2312" w:hAnsiTheme="minorHAnsi" w:cstheme="minorBidi"/>
          <w:b/>
          <w:bCs/>
          <w:i w:val="0"/>
          <w:snapToGrid w:val="0"/>
          <w:spacing w:val="-4"/>
          <w:kern w:val="2"/>
          <w:sz w:val="32"/>
          <w:szCs w:val="32"/>
          <w:highlight w:val="none"/>
          <w:lang w:val="en-US" w:eastAsia="zh-CN" w:bidi="ar-SA"/>
        </w:rPr>
        <w:t>一是</w:t>
      </w:r>
      <w:r>
        <w:rPr>
          <w:rFonts w:hint="eastAsia" w:ascii="仿宋_GB2312" w:eastAsia="仿宋_GB2312" w:hAnsiTheme="minorHAnsi" w:cstheme="minorBidi"/>
          <w:b w:val="0"/>
          <w:bCs w:val="0"/>
          <w:i w:val="0"/>
          <w:snapToGrid w:val="0"/>
          <w:spacing w:val="-4"/>
          <w:kern w:val="2"/>
          <w:sz w:val="32"/>
          <w:szCs w:val="32"/>
          <w:highlight w:val="none"/>
          <w:lang w:val="en-US" w:eastAsia="zh-CN" w:bidi="ar-SA"/>
        </w:rPr>
        <w:t>政务公开信息反馈制度需进一步完善。</w:t>
      </w:r>
      <w:r>
        <w:rPr>
          <w:rFonts w:hint="eastAsia" w:ascii="仿宋_GB2312" w:eastAsia="仿宋_GB2312" w:hAnsiTheme="minorHAnsi" w:cstheme="minorBidi"/>
          <w:i w:val="0"/>
          <w:snapToGrid w:val="0"/>
          <w:spacing w:val="-4"/>
          <w:kern w:val="2"/>
          <w:sz w:val="32"/>
          <w:szCs w:val="32"/>
          <w:highlight w:val="none"/>
          <w:lang w:val="en-US" w:eastAsia="zh-CN" w:bidi="ar-SA"/>
        </w:rPr>
        <w:t>公开后没有及时听取群众意见。对群众提出的要求没有作进一步的说明和解释。</w:t>
      </w:r>
      <w:r>
        <w:rPr>
          <w:rFonts w:hint="eastAsia" w:ascii="仿宋_GB2312" w:eastAsia="仿宋_GB2312" w:hAnsiTheme="minorHAnsi" w:cstheme="minorBidi"/>
          <w:b/>
          <w:bCs/>
          <w:i w:val="0"/>
          <w:snapToGrid w:val="0"/>
          <w:spacing w:val="-4"/>
          <w:kern w:val="2"/>
          <w:sz w:val="32"/>
          <w:szCs w:val="32"/>
          <w:highlight w:val="none"/>
          <w:lang w:val="en-US" w:eastAsia="zh-CN" w:bidi="ar-SA"/>
        </w:rPr>
        <w:t>二是</w:t>
      </w:r>
      <w:r>
        <w:rPr>
          <w:rFonts w:hint="eastAsia" w:ascii="仿宋_GB2312" w:eastAsia="仿宋_GB2312" w:hAnsiTheme="minorHAnsi" w:cstheme="minorBidi"/>
          <w:b w:val="0"/>
          <w:bCs w:val="0"/>
          <w:i w:val="0"/>
          <w:snapToGrid w:val="0"/>
          <w:spacing w:val="-4"/>
          <w:kern w:val="2"/>
          <w:sz w:val="32"/>
          <w:szCs w:val="32"/>
          <w:highlight w:val="none"/>
          <w:lang w:val="en-US" w:eastAsia="zh-CN" w:bidi="ar-SA"/>
        </w:rPr>
        <w:t>主动公开内容有待扩面。</w:t>
      </w:r>
      <w:r>
        <w:rPr>
          <w:rFonts w:hint="eastAsia" w:ascii="仿宋_GB2312" w:eastAsia="仿宋_GB2312" w:hAnsiTheme="minorHAnsi" w:cstheme="minorBidi"/>
          <w:i w:val="0"/>
          <w:snapToGrid w:val="0"/>
          <w:spacing w:val="-4"/>
          <w:kern w:val="2"/>
          <w:sz w:val="32"/>
          <w:szCs w:val="32"/>
          <w:highlight w:val="none"/>
          <w:lang w:val="en-US" w:eastAsia="zh-CN" w:bidi="ar-SA"/>
        </w:rPr>
        <w:t>公开内容不够深，表面事项较多，深层次的问题公开少，事后公开多，事前、事中公开少。</w:t>
      </w:r>
      <w:r>
        <w:rPr>
          <w:rFonts w:hint="eastAsia" w:ascii="仿宋_GB2312" w:eastAsia="仿宋_GB2312" w:hAnsiTheme="minorHAnsi" w:cstheme="minorBidi"/>
          <w:b/>
          <w:bCs/>
          <w:i w:val="0"/>
          <w:snapToGrid w:val="0"/>
          <w:spacing w:val="-4"/>
          <w:kern w:val="2"/>
          <w:sz w:val="32"/>
          <w:szCs w:val="32"/>
          <w:highlight w:val="none"/>
          <w:lang w:val="en-US" w:eastAsia="zh-CN" w:bidi="ar-SA"/>
        </w:rPr>
        <w:t>三是</w:t>
      </w:r>
      <w:r>
        <w:rPr>
          <w:rFonts w:hint="eastAsia" w:ascii="仿宋_GB2312" w:eastAsia="仿宋_GB2312" w:hAnsiTheme="minorHAnsi" w:cstheme="minorBidi"/>
          <w:i w:val="0"/>
          <w:snapToGrid w:val="0"/>
          <w:spacing w:val="-4"/>
          <w:kern w:val="2"/>
          <w:sz w:val="32"/>
          <w:szCs w:val="32"/>
          <w:highlight w:val="none"/>
          <w:lang w:val="en-US" w:eastAsia="zh-CN" w:bidi="ar-SA"/>
        </w:rPr>
        <w:t>信息公开的及时性有待提高。重简单公开、轻及时反馈，应付检查现象偶有发生。</w:t>
      </w:r>
    </w:p>
    <w:p>
      <w:pPr>
        <w:pStyle w:val="2"/>
        <w:ind w:firstLine="624" w:firstLineChars="200"/>
        <w:rPr>
          <w:rFonts w:hint="eastAsia" w:ascii="仿宋_GB2312" w:eastAsia="仿宋_GB2312"/>
          <w:snapToGrid w:val="0"/>
          <w:spacing w:val="-4"/>
          <w:sz w:val="32"/>
          <w:szCs w:val="32"/>
          <w:highlight w:val="none"/>
          <w:lang w:eastAsia="zh-CN"/>
        </w:rPr>
      </w:pPr>
      <w:r>
        <w:rPr>
          <w:rFonts w:hint="eastAsia" w:ascii="仿宋_GB2312" w:eastAsia="仿宋_GB2312" w:hAnsiTheme="minorHAnsi" w:cstheme="minorBidi"/>
          <w:i w:val="0"/>
          <w:snapToGrid w:val="0"/>
          <w:spacing w:val="-4"/>
          <w:kern w:val="2"/>
          <w:sz w:val="32"/>
          <w:szCs w:val="32"/>
          <w:highlight w:val="none"/>
          <w:lang w:val="en-US" w:eastAsia="zh-CN" w:bidi="ar-SA"/>
        </w:rPr>
        <w:t>针对上述问题，局办要建立健全政务公开工作机制，加强组织协调，落实督促检查。加强热点公开，拓展公开内容，使群众及时了解主要内容，对政务公开困难大、问题多的地方，要深入剖析，找准问题，进一步保障信息公开的完整性、及时性、准确性和规范性。</w:t>
      </w:r>
    </w:p>
    <w:p>
      <w:pPr>
        <w:pStyle w:val="4"/>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黑体" w:hAnsi="黑体" w:eastAsia="黑体" w:cs="黑体"/>
          <w:b w:val="0"/>
          <w:color w:val="auto"/>
          <w:sz w:val="32"/>
          <w:szCs w:val="32"/>
          <w:lang w:val="en-US" w:eastAsia="zh-CN"/>
        </w:rPr>
      </w:pPr>
      <w:r>
        <w:rPr>
          <w:rFonts w:hint="eastAsia" w:ascii="黑体" w:hAnsi="黑体" w:eastAsia="黑体" w:cs="黑体"/>
          <w:b w:val="0"/>
          <w:color w:val="auto"/>
          <w:sz w:val="32"/>
          <w:szCs w:val="32"/>
          <w:lang w:val="en-US" w:eastAsia="zh-CN"/>
        </w:rPr>
        <w:t>六、其他需要报告的事项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color w:val="auto"/>
          <w:kern w:val="0"/>
          <w:sz w:val="32"/>
          <w:szCs w:val="32"/>
          <w:lang w:val="en-US" w:eastAsia="zh-CN" w:bidi="ar"/>
        </w:rPr>
      </w:pPr>
      <w:r>
        <w:rPr>
          <w:rFonts w:hint="eastAsia" w:ascii="仿宋_GB2312" w:hAnsi="仿宋_GB2312" w:eastAsia="仿宋_GB2312" w:cs="仿宋_GB2312"/>
          <w:b w:val="0"/>
          <w:color w:val="auto"/>
          <w:kern w:val="0"/>
          <w:sz w:val="32"/>
          <w:szCs w:val="32"/>
          <w:lang w:val="en-US" w:eastAsia="zh-CN" w:bidi="ar"/>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color w:val="auto"/>
          <w:kern w:val="0"/>
          <w:sz w:val="32"/>
          <w:szCs w:val="32"/>
          <w:lang w:val="en-US" w:eastAsia="zh-CN" w:bidi="ar"/>
        </w:rPr>
      </w:pPr>
    </w:p>
    <w:sectPr>
      <w:pgSz w:w="11906" w:h="16838"/>
      <w:pgMar w:top="1644" w:right="1531" w:bottom="1417"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zOGIzYjlhOWFmZGQyZTAyOGEyZDI4M2FjNGNmZmQifQ=="/>
  </w:docVars>
  <w:rsids>
    <w:rsidRoot w:val="799F4C84"/>
    <w:rsid w:val="001829F7"/>
    <w:rsid w:val="00F3112F"/>
    <w:rsid w:val="01713EF8"/>
    <w:rsid w:val="04C76137"/>
    <w:rsid w:val="052E519A"/>
    <w:rsid w:val="06A32363"/>
    <w:rsid w:val="08063641"/>
    <w:rsid w:val="0BB13027"/>
    <w:rsid w:val="0DFF72CA"/>
    <w:rsid w:val="0E100F0B"/>
    <w:rsid w:val="0EB15FDE"/>
    <w:rsid w:val="111560F0"/>
    <w:rsid w:val="13CC16E1"/>
    <w:rsid w:val="16747D07"/>
    <w:rsid w:val="183202BA"/>
    <w:rsid w:val="1ACB7B9E"/>
    <w:rsid w:val="1F6D31A6"/>
    <w:rsid w:val="23624510"/>
    <w:rsid w:val="250B781F"/>
    <w:rsid w:val="25B5744F"/>
    <w:rsid w:val="265045E4"/>
    <w:rsid w:val="2A8F15B8"/>
    <w:rsid w:val="2B453C7F"/>
    <w:rsid w:val="2F0A34FB"/>
    <w:rsid w:val="30D96BD0"/>
    <w:rsid w:val="31E4505A"/>
    <w:rsid w:val="340361DE"/>
    <w:rsid w:val="359900A2"/>
    <w:rsid w:val="384D7D4D"/>
    <w:rsid w:val="3D321D80"/>
    <w:rsid w:val="3D4B57D7"/>
    <w:rsid w:val="3F423F3C"/>
    <w:rsid w:val="41796407"/>
    <w:rsid w:val="43AB1913"/>
    <w:rsid w:val="44950BE4"/>
    <w:rsid w:val="44DE2A94"/>
    <w:rsid w:val="46FB343D"/>
    <w:rsid w:val="48585198"/>
    <w:rsid w:val="4992641F"/>
    <w:rsid w:val="4D6549BF"/>
    <w:rsid w:val="4FB141A1"/>
    <w:rsid w:val="55D9330F"/>
    <w:rsid w:val="56FD3281"/>
    <w:rsid w:val="5BA2446D"/>
    <w:rsid w:val="5E094C4C"/>
    <w:rsid w:val="5F2C07E5"/>
    <w:rsid w:val="5F3326B7"/>
    <w:rsid w:val="604445CB"/>
    <w:rsid w:val="64FB3583"/>
    <w:rsid w:val="65FD68CD"/>
    <w:rsid w:val="67CC335D"/>
    <w:rsid w:val="681E73A1"/>
    <w:rsid w:val="6AF506E1"/>
    <w:rsid w:val="71045E7E"/>
    <w:rsid w:val="73A20472"/>
    <w:rsid w:val="74995F15"/>
    <w:rsid w:val="75727C4B"/>
    <w:rsid w:val="799F4C84"/>
    <w:rsid w:val="7A0F4C83"/>
    <w:rsid w:val="7BA81C70"/>
    <w:rsid w:val="7BCC1C52"/>
    <w:rsid w:val="7C8467FF"/>
    <w:rsid w:val="7E251389"/>
    <w:rsid w:val="7E4543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333333"/>
      <w:u w:val="single"/>
    </w:rPr>
  </w:style>
  <w:style w:type="character" w:styleId="9">
    <w:name w:val="Hyperlink"/>
    <w:basedOn w:val="6"/>
    <w:qFormat/>
    <w:uiPriority w:val="0"/>
    <w:rPr>
      <w:color w:val="333333"/>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2020-01-16T01:56:00Z</dcterms:created>
  <dc:creator>鱼射手</dc:creator>
  <cp:lastModifiedBy>靓慧</cp:lastModifiedBy>
  <cp:lastPrinted>2021-01-14T01:59:00Z</cp:lastPrinted>
  <dcterms:modified xsi:type="dcterms:W3CDTF">2023-12-11T06:46:43Z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EDA6821D56914680A62803CC48F36F9C</vt:lpwstr>
  </property>
</Properties>
</file>