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jc w:val="center"/>
        <w:rPr>
          <w:rFonts w:ascii="方正小标宋简体" w:eastAsia="方正小标宋简体"/>
          <w:color w:val="000000"/>
          <w:sz w:val="44"/>
          <w:szCs w:val="44"/>
        </w:rPr>
      </w:pPr>
      <w:r>
        <w:rPr>
          <w:rFonts w:hint="eastAsia" w:ascii="方正小标宋简体" w:eastAsia="方正小标宋简体"/>
          <w:color w:val="000000"/>
          <w:sz w:val="44"/>
          <w:szCs w:val="44"/>
        </w:rPr>
        <w:t>宁波市北仑区卫生健康局</w:t>
      </w:r>
    </w:p>
    <w:p>
      <w:pPr>
        <w:spacing w:line="620" w:lineRule="exact"/>
        <w:jc w:val="center"/>
        <w:rPr>
          <w:rFonts w:ascii="方正小标宋简体" w:eastAsia="方正小标宋简体"/>
          <w:color w:val="000000"/>
          <w:sz w:val="44"/>
          <w:szCs w:val="44"/>
        </w:rPr>
      </w:pPr>
      <w:r>
        <w:rPr>
          <w:rFonts w:hint="eastAsia" w:ascii="方正小标宋简体" w:eastAsia="方正小标宋简体"/>
          <w:color w:val="000000"/>
          <w:sz w:val="44"/>
          <w:szCs w:val="44"/>
        </w:rPr>
        <w:t>202</w:t>
      </w:r>
      <w:r>
        <w:rPr>
          <w:rFonts w:hint="eastAsia" w:ascii="方正小标宋简体" w:eastAsia="方正小标宋简体"/>
          <w:color w:val="000000"/>
          <w:sz w:val="44"/>
          <w:szCs w:val="44"/>
          <w:lang w:val="en-US" w:eastAsia="zh-CN"/>
        </w:rPr>
        <w:t>4</w:t>
      </w:r>
      <w:r>
        <w:rPr>
          <w:rFonts w:hint="eastAsia" w:ascii="方正小标宋简体" w:eastAsia="方正小标宋简体"/>
          <w:color w:val="000000"/>
          <w:sz w:val="44"/>
          <w:szCs w:val="44"/>
        </w:rPr>
        <w:t>年政府信息公开工作年度报告</w:t>
      </w:r>
    </w:p>
    <w:p>
      <w:pPr>
        <w:spacing w:line="620" w:lineRule="exact"/>
        <w:rPr>
          <w:rFonts w:hint="eastAsia" w:ascii="仿宋_GB2312" w:hAnsi="仿宋_GB2312" w:eastAsia="仿宋_GB2312"/>
          <w:color w:val="000000"/>
          <w:sz w:val="32"/>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exact"/>
        <w:jc w:val="both"/>
        <w:textAlignment w:val="auto"/>
        <w:rPr>
          <w:rFonts w:hint="default" w:ascii="仿宋_GB2312" w:hAnsi="仿宋_GB2312" w:eastAsia="仿宋_GB2312"/>
          <w:color w:val="000000"/>
          <w:sz w:val="32"/>
          <w:lang w:eastAsia="zh-CN"/>
        </w:rPr>
      </w:pPr>
      <w:r>
        <w:rPr>
          <w:rFonts w:hint="eastAsia" w:eastAsia="仿宋"/>
          <w:color w:val="000000"/>
          <w:sz w:val="32"/>
          <w:szCs w:val="32"/>
          <w:shd w:val="clear" w:color="auto" w:fill="FFFFFF"/>
        </w:rPr>
        <w:t> </w:t>
      </w:r>
      <w:r>
        <w:rPr>
          <w:rFonts w:hint="eastAsia" w:eastAsia="仿宋"/>
          <w:color w:val="000000"/>
          <w:sz w:val="32"/>
          <w:szCs w:val="32"/>
          <w:shd w:val="clear" w:color="auto" w:fill="FFFFFF"/>
          <w:lang w:val="en-US" w:eastAsia="zh-CN"/>
        </w:rPr>
        <w:t xml:space="preserve">  </w:t>
      </w:r>
      <w:r>
        <w:rPr>
          <w:rFonts w:hint="eastAsia" w:ascii="楷体_GB2312" w:hAnsi="仿宋" w:eastAsia="楷体_GB2312"/>
          <w:color w:val="333333"/>
          <w:sz w:val="32"/>
          <w:szCs w:val="32"/>
          <w:shd w:val="clear" w:color="auto" w:fill="FFFFFF"/>
          <w:lang w:val="en-US" w:eastAsia="zh-CN"/>
        </w:rPr>
        <w:t xml:space="preserve"> </w:t>
      </w:r>
      <w:r>
        <w:rPr>
          <w:rFonts w:hint="eastAsia" w:ascii="楷体_GB2312" w:hAnsi="仿宋" w:eastAsia="楷体_GB2312"/>
          <w:color w:val="333333"/>
          <w:sz w:val="32"/>
          <w:szCs w:val="32"/>
          <w:shd w:val="clear" w:color="auto" w:fill="FFFFFF"/>
        </w:rPr>
        <w:t>编制说明：本报告是根据《中华人民共和国政府信息公开条例》（国务院令第711号）和</w:t>
      </w:r>
      <w:r>
        <w:rPr>
          <w:rFonts w:hint="eastAsia" w:ascii="楷体_GB2312" w:hAnsi="楷体_GB2312" w:eastAsia="楷体_GB2312" w:cs="楷体_GB2312"/>
          <w:b w:val="0"/>
          <w:bCs/>
          <w:color w:val="333333"/>
          <w:sz w:val="32"/>
          <w:szCs w:val="32"/>
        </w:rPr>
        <w:t>国务院办公厅政府信息与政务公开办公室关于印发《中华人民共和国政府信息公开工作年度报告格式》的通知</w:t>
      </w:r>
      <w:r>
        <w:rPr>
          <w:rFonts w:hint="eastAsia" w:ascii="楷体_GB2312" w:hAnsi="楷体_GB2312" w:eastAsia="楷体_GB2312" w:cs="楷体_GB2312"/>
          <w:b w:val="0"/>
          <w:bCs/>
          <w:color w:val="333333"/>
          <w:sz w:val="32"/>
          <w:szCs w:val="32"/>
          <w:lang w:eastAsia="zh-CN"/>
        </w:rPr>
        <w:t>（</w:t>
      </w:r>
      <w:r>
        <w:rPr>
          <w:rFonts w:hint="eastAsia" w:ascii="楷体_GB2312" w:hAnsi="楷体_GB2312" w:eastAsia="楷体_GB2312" w:cs="楷体_GB2312"/>
          <w:b w:val="0"/>
          <w:bCs/>
          <w:color w:val="333333"/>
          <w:sz w:val="32"/>
          <w:szCs w:val="32"/>
        </w:rPr>
        <w:t>国办公开办函〔2021〕30号</w:t>
      </w:r>
      <w:r>
        <w:rPr>
          <w:rFonts w:hint="eastAsia" w:ascii="楷体_GB2312" w:hAnsi="楷体_GB2312" w:eastAsia="楷体_GB2312" w:cs="楷体_GB2312"/>
          <w:b w:val="0"/>
          <w:bCs/>
          <w:color w:val="333333"/>
          <w:sz w:val="32"/>
          <w:szCs w:val="32"/>
          <w:lang w:eastAsia="zh-CN"/>
        </w:rPr>
        <w:t>）</w:t>
      </w:r>
      <w:r>
        <w:rPr>
          <w:rFonts w:hint="eastAsia" w:ascii="楷体_GB2312" w:hAnsi="仿宋" w:eastAsia="楷体_GB2312"/>
          <w:color w:val="333333"/>
          <w:sz w:val="32"/>
          <w:szCs w:val="32"/>
          <w:shd w:val="clear" w:color="auto" w:fill="FFFFFF"/>
        </w:rPr>
        <w:t>文件要求编制。全文包含总体情况、主动公开政府信息情况、收到和处理政府信息公开申请情况、因政府信息公开工作被申请行政复议、提起行政诉讼情况、政府信息公开工作存在的主要问题及改进情况、其他需要报告的事项六个方面。</w:t>
      </w:r>
      <w:r>
        <w:rPr>
          <w:rFonts w:hint="default" w:ascii="楷体_GB2312" w:hAnsi="仿宋" w:eastAsia="楷体_GB2312"/>
          <w:color w:val="333333"/>
          <w:sz w:val="32"/>
          <w:szCs w:val="32"/>
          <w:shd w:val="clear" w:color="auto" w:fill="FFFFFF"/>
        </w:rPr>
        <w:t>本报告所列数据的统计期限自202</w:t>
      </w:r>
      <w:r>
        <w:rPr>
          <w:rFonts w:hint="eastAsia" w:ascii="楷体_GB2312" w:hAnsi="仿宋" w:eastAsia="楷体_GB2312"/>
          <w:color w:val="333333"/>
          <w:sz w:val="32"/>
          <w:szCs w:val="32"/>
          <w:shd w:val="clear" w:color="auto" w:fill="FFFFFF"/>
          <w:lang w:val="en-US" w:eastAsia="zh-CN"/>
        </w:rPr>
        <w:t>4</w:t>
      </w:r>
      <w:r>
        <w:rPr>
          <w:rFonts w:hint="default" w:ascii="楷体_GB2312" w:hAnsi="仿宋" w:eastAsia="楷体_GB2312"/>
          <w:color w:val="333333"/>
          <w:sz w:val="32"/>
          <w:szCs w:val="32"/>
          <w:shd w:val="clear" w:color="auto" w:fill="FFFFFF"/>
        </w:rPr>
        <w:t>年1月1日起至12月31日止。</w:t>
      </w:r>
    </w:p>
    <w:p>
      <w:pPr>
        <w:spacing w:line="580" w:lineRule="exact"/>
        <w:ind w:firstLine="640" w:firstLineChars="200"/>
        <w:rPr>
          <w:rFonts w:hint="eastAsia" w:ascii="黑体" w:hAnsi="黑体" w:eastAsia="黑体" w:cs="黑体"/>
          <w:color w:val="000000"/>
          <w:sz w:val="32"/>
        </w:rPr>
      </w:pPr>
      <w:r>
        <w:rPr>
          <w:rFonts w:hint="eastAsia" w:ascii="黑体" w:hAnsi="黑体" w:eastAsia="黑体" w:cs="黑体"/>
          <w:color w:val="000000"/>
          <w:sz w:val="32"/>
        </w:rPr>
        <w:t>一、总体情况</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olor w:val="000000"/>
          <w:sz w:val="32"/>
        </w:rPr>
      </w:pPr>
      <w:r>
        <w:rPr>
          <w:rFonts w:hint="eastAsia" w:ascii="仿宋_GB2312" w:hAnsi="仿宋_GB2312" w:eastAsia="仿宋_GB2312"/>
          <w:color w:val="000000"/>
          <w:sz w:val="32"/>
        </w:rPr>
        <w:t>202</w:t>
      </w:r>
      <w:r>
        <w:rPr>
          <w:rFonts w:hint="eastAsia" w:ascii="仿宋_GB2312" w:hAnsi="仿宋_GB2312" w:eastAsia="仿宋_GB2312"/>
          <w:color w:val="000000"/>
          <w:sz w:val="32"/>
          <w:lang w:val="en-US" w:eastAsia="zh-CN"/>
        </w:rPr>
        <w:t>4</w:t>
      </w:r>
      <w:r>
        <w:rPr>
          <w:rFonts w:hint="eastAsia" w:ascii="仿宋_GB2312" w:hAnsi="仿宋_GB2312" w:eastAsia="仿宋_GB2312"/>
          <w:color w:val="000000"/>
          <w:sz w:val="32"/>
        </w:rPr>
        <w:t>年，政务公开工作</w:t>
      </w:r>
      <w:r>
        <w:rPr>
          <w:rFonts w:hint="eastAsia" w:ascii="仿宋_GB2312" w:hAnsi="仿宋_GB2312" w:eastAsia="仿宋_GB2312" w:cs="仿宋_GB2312"/>
          <w:color w:val="000000"/>
          <w:sz w:val="32"/>
          <w:szCs w:val="32"/>
          <w:shd w:val="clear" w:color="auto" w:fill="FFFFFF"/>
        </w:rPr>
        <w:t>坚持以习近平新时代中国特色社会主义思想为指导，以全面贯彻《中华人民共和国政府信息公开条例》为主线，认真落实</w:t>
      </w:r>
      <w:r>
        <w:rPr>
          <w:rFonts w:hint="eastAsia" w:ascii="仿宋_GB2312" w:hAnsi="仿宋_GB2312" w:eastAsia="仿宋_GB2312" w:cs="仿宋_GB2312"/>
          <w:color w:val="000000"/>
          <w:sz w:val="32"/>
          <w:szCs w:val="32"/>
          <w:shd w:val="clear" w:color="auto" w:fill="FFFFFF"/>
          <w:lang w:eastAsia="zh-CN"/>
        </w:rPr>
        <w:t>国家、省、市</w:t>
      </w:r>
      <w:r>
        <w:rPr>
          <w:rFonts w:hint="eastAsia" w:ascii="仿宋_GB2312" w:hAnsi="仿宋_GB2312" w:eastAsia="仿宋_GB2312" w:cs="仿宋_GB2312"/>
          <w:color w:val="000000"/>
          <w:sz w:val="32"/>
          <w:szCs w:val="32"/>
          <w:shd w:val="clear" w:color="auto" w:fill="FFFFFF"/>
        </w:rPr>
        <w:t>文件要求，</w:t>
      </w:r>
      <w:r>
        <w:rPr>
          <w:rFonts w:hint="eastAsia" w:ascii="仿宋_GB2312" w:hAnsi="仿宋_GB2312" w:eastAsia="仿宋_GB2312" w:cs="仿宋_GB2312"/>
          <w:color w:val="000000"/>
          <w:sz w:val="32"/>
          <w:szCs w:val="32"/>
        </w:rPr>
        <w:t>以夯实政务公开基础为抓手，以公开促落实、促规范、促服务为目标，努力提升卫健工作透明度和政府公信力。</w:t>
      </w:r>
      <w:r>
        <w:rPr>
          <w:rFonts w:hint="eastAsia" w:ascii="仿宋_GB2312" w:hAnsi="仿宋_GB2312" w:eastAsia="仿宋_GB2312" w:cs="仿宋_GB2312"/>
          <w:color w:val="000000"/>
          <w:sz w:val="32"/>
          <w:szCs w:val="32"/>
          <w:highlight w:val="none"/>
        </w:rPr>
        <w:t>全年通过各种渠道公开政府信息</w:t>
      </w:r>
      <w:r>
        <w:rPr>
          <w:rFonts w:hint="eastAsia" w:ascii="仿宋_GB2312" w:hAnsi="仿宋_GB2312" w:eastAsia="仿宋_GB2312" w:cs="仿宋_GB2312"/>
          <w:color w:val="000000"/>
          <w:sz w:val="32"/>
          <w:szCs w:val="32"/>
          <w:highlight w:val="none"/>
          <w:lang w:val="en-US" w:eastAsia="zh-CN"/>
        </w:rPr>
        <w:t>1472</w:t>
      </w:r>
      <w:r>
        <w:rPr>
          <w:rFonts w:hint="eastAsia" w:ascii="仿宋_GB2312" w:hAnsi="仿宋_GB2312" w:eastAsia="仿宋_GB2312" w:cs="仿宋_GB2312"/>
          <w:color w:val="000000"/>
          <w:sz w:val="32"/>
          <w:szCs w:val="32"/>
          <w:highlight w:val="none"/>
        </w:rPr>
        <w:t>条，政务新媒体</w:t>
      </w:r>
      <w:r>
        <w:rPr>
          <w:rFonts w:hint="eastAsia" w:ascii="仿宋_GB2312" w:hAnsi="仿宋_GB2312" w:eastAsia="仿宋_GB2312" w:cs="仿宋_GB2312"/>
          <w:color w:val="000000"/>
          <w:sz w:val="32"/>
          <w:szCs w:val="32"/>
          <w:highlight w:val="none"/>
          <w:lang w:eastAsia="zh-CN"/>
        </w:rPr>
        <w:t>健康北仑微信公众号</w:t>
      </w:r>
      <w:r>
        <w:rPr>
          <w:rFonts w:hint="eastAsia" w:ascii="仿宋_GB2312" w:hAnsi="仿宋_GB2312" w:eastAsia="仿宋_GB2312" w:cs="仿宋_GB2312"/>
          <w:color w:val="000000"/>
          <w:sz w:val="32"/>
          <w:szCs w:val="32"/>
          <w:highlight w:val="none"/>
        </w:rPr>
        <w:t>公开信息</w:t>
      </w:r>
      <w:r>
        <w:rPr>
          <w:rFonts w:hint="eastAsia" w:ascii="仿宋_GB2312" w:hAnsi="仿宋_GB2312" w:eastAsia="仿宋_GB2312" w:cs="仿宋_GB2312"/>
          <w:color w:val="000000"/>
          <w:sz w:val="32"/>
          <w:szCs w:val="32"/>
          <w:highlight w:val="none"/>
          <w:lang w:val="en-US" w:eastAsia="zh-CN"/>
        </w:rPr>
        <w:t>331</w:t>
      </w:r>
      <w:r>
        <w:rPr>
          <w:rFonts w:hint="eastAsia" w:ascii="仿宋_GB2312" w:hAnsi="仿宋_GB2312" w:eastAsia="仿宋_GB2312" w:cs="仿宋_GB2312"/>
          <w:color w:val="000000"/>
          <w:sz w:val="32"/>
          <w:szCs w:val="32"/>
          <w:highlight w:val="none"/>
        </w:rPr>
        <w:t>条</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rPr>
        <w:t>具体情况汇报如下：</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sz w:val="32"/>
          <w:szCs w:val="32"/>
          <w:shd w:val="clear" w:color="auto" w:fill="FFFFFF"/>
        </w:rPr>
      </w:pPr>
      <w:r>
        <w:rPr>
          <w:rFonts w:hint="eastAsia" w:ascii="方正楷体_GBK" w:hAnsi="方正楷体_GBK" w:eastAsia="方正楷体_GBK" w:cs="方正楷体_GBK"/>
          <w:color w:val="000000"/>
          <w:sz w:val="32"/>
          <w:lang w:val="en-US" w:eastAsia="zh-CN"/>
        </w:rPr>
        <w:t>（一）</w:t>
      </w:r>
      <w:r>
        <w:rPr>
          <w:rFonts w:hint="eastAsia" w:ascii="楷体_GB2312" w:hAnsi="楷体_GB2312" w:eastAsia="楷体_GB2312" w:cs="楷体_GB2312"/>
          <w:i w:val="0"/>
          <w:caps w:val="0"/>
          <w:color w:val="1F1F1F"/>
          <w:spacing w:val="0"/>
          <w:sz w:val="32"/>
          <w:szCs w:val="32"/>
          <w:shd w:val="clear" w:color="auto" w:fill="FFFFFF"/>
          <w:lang w:val="en-US" w:eastAsia="zh-CN"/>
        </w:rPr>
        <w:t>政务公开工作机制进一步规范。</w:t>
      </w:r>
      <w:r>
        <w:rPr>
          <w:rFonts w:hint="eastAsia" w:ascii="仿宋_GB2312" w:hAnsi="仿宋_GB2312" w:eastAsia="仿宋_GB2312" w:cs="仿宋_GB2312"/>
          <w:color w:val="000000"/>
          <w:sz w:val="32"/>
          <w:szCs w:val="32"/>
          <w:shd w:val="clear" w:color="auto" w:fill="FFFFFF"/>
          <w:lang w:val="en-US" w:eastAsia="zh-CN"/>
        </w:rPr>
        <w:t>为了确保单位的各项政务公开工作能够得到有效落实，</w:t>
      </w:r>
      <w:r>
        <w:rPr>
          <w:rFonts w:hint="eastAsia" w:ascii="仿宋_GB2312" w:hAnsi="仿宋_GB2312" w:eastAsia="仿宋_GB2312" w:cs="仿宋_GB2312"/>
          <w:i w:val="0"/>
          <w:caps w:val="0"/>
          <w:color w:val="1F1F1F"/>
          <w:spacing w:val="0"/>
          <w:sz w:val="32"/>
          <w:szCs w:val="32"/>
          <w:shd w:val="clear" w:color="auto" w:fill="FFFFFF"/>
          <w:lang w:eastAsia="zh-CN"/>
        </w:rPr>
        <w:t>我局认真总结近年来工作中的经验和做法，认真研究解决存在的问题</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shd w:val="clear" w:color="auto" w:fill="FFFFFF"/>
          <w:lang w:val="en-US" w:eastAsia="zh-CN"/>
        </w:rPr>
        <w:t>通过这一过程，政府信息公开领导小组得到了进一步的健全和完善，明确了专人负责实施的具体工作。形成了由科室长（下属单位主要领导）、综合科负责人、局分管领导逐级审核的程序，确保了领导、机构、人员、责任的“四落实”。这些措施的实施，不仅提高了政务公开工作的质量，还增强了其规范性和有效性。</w:t>
      </w:r>
      <w:r>
        <w:rPr>
          <w:rFonts w:hint="eastAsia" w:ascii="仿宋_GB2312" w:hAnsi="仿宋_GB2312" w:eastAsia="仿宋_GB2312" w:cs="仿宋_GB2312"/>
          <w:color w:val="auto"/>
          <w:sz w:val="32"/>
          <w:szCs w:val="32"/>
          <w:lang w:eastAsia="zh-CN"/>
        </w:rPr>
        <w:t>全年没有发生因政务公开工作被追究责任的情况。特此说明。</w:t>
      </w:r>
      <w:bookmarkStart w:id="0" w:name="_GoBack"/>
      <w:bookmarkEnd w:id="0"/>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pPr>
      <w:r>
        <w:rPr>
          <w:rFonts w:hint="eastAsia" w:ascii="楷体_GB2312" w:hAnsi="楷体_GB2312" w:eastAsia="楷体_GB2312" w:cs="楷体_GB2312"/>
          <w:i w:val="0"/>
          <w:caps w:val="0"/>
          <w:color w:val="1F1F1F"/>
          <w:spacing w:val="0"/>
          <w:sz w:val="32"/>
          <w:szCs w:val="32"/>
          <w:shd w:val="clear" w:color="auto" w:fill="FFFFFF"/>
          <w:lang w:eastAsia="zh-CN"/>
        </w:rPr>
        <w:t>（二）</w:t>
      </w:r>
      <w:r>
        <w:rPr>
          <w:rFonts w:hint="eastAsia" w:ascii="楷体_GB2312" w:hAnsi="楷体_GB2312" w:eastAsia="楷体_GB2312" w:cs="楷体_GB2312"/>
          <w:i w:val="0"/>
          <w:caps w:val="0"/>
          <w:color w:val="1F1F1F"/>
          <w:spacing w:val="0"/>
          <w:sz w:val="32"/>
          <w:szCs w:val="32"/>
          <w:shd w:val="clear" w:color="auto" w:fill="FFFFFF"/>
          <w:lang w:val="en-US" w:eastAsia="zh-CN"/>
        </w:rPr>
        <w:t>政务公开平台建设进一步完善。</w:t>
      </w:r>
      <w:r>
        <w:rPr>
          <w:rFonts w:hint="eastAsia" w:ascii="仿宋_GB2312" w:hAnsi="仿宋_GB2312" w:eastAsia="仿宋_GB2312" w:cs="仿宋_GB2312"/>
          <w:color w:val="000000"/>
          <w:sz w:val="32"/>
          <w:szCs w:val="32"/>
          <w:shd w:val="clear" w:color="auto" w:fill="FFFFFF"/>
          <w:lang w:val="en-US" w:eastAsia="zh-CN"/>
        </w:rPr>
        <w:t>持续加强对政府网站集约化平台的管理，定期开展自查工作，确保政府网站规范运行，有效做到数据同源；完善政府网站信息公开专栏，及时将工作动态、群众办事、机构信息等最新信息公开，不断增强信息公开的时效性、便民性、共享性。</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i w:val="0"/>
          <w:caps w:val="0"/>
          <w:color w:val="1F1F1F"/>
          <w:spacing w:val="0"/>
          <w:sz w:val="32"/>
          <w:szCs w:val="32"/>
          <w:shd w:val="clear" w:color="auto" w:fill="FFFFFF"/>
          <w:lang w:val="en-US" w:eastAsia="zh-CN"/>
        </w:rPr>
        <w:t>（三）政务公开形式和渠道进一步延伸。</w:t>
      </w:r>
      <w:r>
        <w:rPr>
          <w:rFonts w:hint="eastAsia" w:ascii="仿宋_GB2312" w:hAnsi="仿宋_GB2312" w:eastAsia="仿宋_GB2312" w:cs="仿宋_GB2312"/>
          <w:color w:val="000000"/>
          <w:sz w:val="32"/>
          <w:szCs w:val="32"/>
        </w:rPr>
        <w:t>采用了多种公开形式和渠道</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lang w:val="en-US" w:eastAsia="zh-CN"/>
        </w:rPr>
        <w:t>一是</w:t>
      </w:r>
      <w:r>
        <w:rPr>
          <w:rFonts w:hint="eastAsia" w:ascii="仿宋_GB2312" w:hAnsi="仿宋_GB2312" w:eastAsia="仿宋_GB2312" w:cs="仿宋_GB2312"/>
          <w:color w:val="000000"/>
          <w:sz w:val="32"/>
          <w:szCs w:val="32"/>
        </w:rPr>
        <w:t>官方网站</w:t>
      </w:r>
      <w:r>
        <w:rPr>
          <w:rFonts w:hint="eastAsia" w:ascii="仿宋_GB2312" w:hAnsi="仿宋_GB2312" w:eastAsia="仿宋_GB2312" w:cs="仿宋_GB2312"/>
          <w:color w:val="000000"/>
          <w:sz w:val="32"/>
          <w:szCs w:val="32"/>
          <w:lang w:val="en-US" w:eastAsia="zh-CN"/>
        </w:rPr>
        <w:t>；二是</w:t>
      </w:r>
      <w:r>
        <w:rPr>
          <w:rFonts w:hint="default" w:ascii="仿宋_GB2312" w:hAnsi="仿宋_GB2312" w:eastAsia="仿宋_GB2312" w:cs="仿宋_GB2312"/>
          <w:color w:val="000000"/>
          <w:sz w:val="32"/>
          <w:szCs w:val="32"/>
          <w:lang w:val="en-US" w:eastAsia="zh-CN"/>
        </w:rPr>
        <w:t>微信公众号</w:t>
      </w:r>
      <w:r>
        <w:rPr>
          <w:rFonts w:hint="eastAsia" w:ascii="仿宋_GB2312" w:hAnsi="仿宋_GB2312" w:eastAsia="仿宋_GB2312" w:cs="仿宋_GB2312"/>
          <w:color w:val="000000"/>
          <w:sz w:val="32"/>
          <w:szCs w:val="32"/>
          <w:lang w:val="en-US" w:eastAsia="zh-CN"/>
        </w:rPr>
        <w:t>；</w:t>
      </w:r>
      <w:r>
        <w:rPr>
          <w:rFonts w:hint="default" w:ascii="仿宋_GB2312" w:hAnsi="仿宋_GB2312" w:eastAsia="仿宋_GB2312" w:cs="仿宋_GB2312"/>
          <w:color w:val="000000"/>
          <w:sz w:val="32"/>
          <w:szCs w:val="32"/>
          <w:lang w:val="en-US" w:eastAsia="zh-CN"/>
        </w:rPr>
        <w:t>三是其他渠道。第一方面，强化重要政策及重点工作进展等信息发布，回复社会关切。第二方面，根据国办政府网站普查要求，积极开展网站自查，分阶段通过加强信息发布、栏目整合、规范办事指南。第三方面，进一步完善</w:t>
      </w:r>
      <w:r>
        <w:rPr>
          <w:rFonts w:hint="eastAsia" w:ascii="仿宋_GB2312" w:hAnsi="仿宋_GB2312" w:eastAsia="仿宋_GB2312" w:cs="仿宋_GB2312"/>
          <w:color w:val="000000"/>
          <w:sz w:val="32"/>
          <w:szCs w:val="32"/>
          <w:lang w:val="en-US" w:eastAsia="zh-CN"/>
        </w:rPr>
        <w:t>重点公开领域</w:t>
      </w:r>
      <w:r>
        <w:rPr>
          <w:rFonts w:hint="default" w:ascii="仿宋_GB2312" w:hAnsi="仿宋_GB2312" w:eastAsia="仿宋_GB2312" w:cs="仿宋_GB2312"/>
          <w:color w:val="000000"/>
          <w:sz w:val="32"/>
          <w:szCs w:val="32"/>
          <w:lang w:val="en-US" w:eastAsia="zh-CN"/>
        </w:rPr>
        <w:t>专栏，对</w:t>
      </w:r>
      <w:r>
        <w:rPr>
          <w:rFonts w:hint="eastAsia" w:ascii="仿宋_GB2312" w:hAnsi="仿宋_GB2312" w:eastAsia="仿宋_GB2312" w:cs="仿宋_GB2312"/>
          <w:color w:val="000000"/>
          <w:sz w:val="32"/>
          <w:szCs w:val="32"/>
          <w:lang w:val="en-US" w:eastAsia="zh-CN"/>
        </w:rPr>
        <w:t>医疗卫生</w:t>
      </w:r>
      <w:r>
        <w:rPr>
          <w:rFonts w:hint="default"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lang w:val="en-US" w:eastAsia="zh-CN"/>
        </w:rPr>
        <w:t>社会救助和福利</w:t>
      </w:r>
      <w:r>
        <w:rPr>
          <w:rFonts w:hint="default" w:ascii="仿宋_GB2312" w:hAnsi="仿宋_GB2312" w:eastAsia="仿宋_GB2312" w:cs="仿宋_GB2312"/>
          <w:color w:val="000000"/>
          <w:sz w:val="32"/>
          <w:szCs w:val="32"/>
          <w:lang w:val="en-US" w:eastAsia="zh-CN"/>
        </w:rPr>
        <w:t>、</w:t>
      </w:r>
      <w:r>
        <w:rPr>
          <w:rFonts w:hint="eastAsia" w:ascii="仿宋_GB2312" w:hAnsi="仿宋_GB2312" w:eastAsia="仿宋_GB2312" w:cs="仿宋_GB2312"/>
          <w:color w:val="000000"/>
          <w:sz w:val="32"/>
          <w:szCs w:val="32"/>
          <w:lang w:val="en-US" w:eastAsia="zh-CN"/>
        </w:rPr>
        <w:t>市场监管</w:t>
      </w:r>
      <w:r>
        <w:rPr>
          <w:rFonts w:hint="default" w:ascii="仿宋_GB2312" w:hAnsi="仿宋_GB2312" w:eastAsia="仿宋_GB2312" w:cs="仿宋_GB2312"/>
          <w:color w:val="000000"/>
          <w:sz w:val="32"/>
          <w:szCs w:val="32"/>
          <w:lang w:val="en-US" w:eastAsia="zh-CN"/>
        </w:rPr>
        <w:t>等有关栏目和内容进行了充实和完善。</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firstLine="640" w:firstLineChars="200"/>
        <w:textAlignment w:val="auto"/>
        <w:rPr>
          <w:rFonts w:hint="eastAsia" w:ascii="仿宋_GB2312" w:hAnsi="仿宋_GB2312" w:eastAsia="仿宋_GB2312" w:cs="仿宋_GB2312"/>
          <w:i w:val="0"/>
          <w:caps w:val="0"/>
          <w:color w:val="1F1F1F"/>
          <w:spacing w:val="0"/>
          <w:sz w:val="32"/>
          <w:szCs w:val="32"/>
          <w:shd w:val="clear" w:color="auto" w:fill="FFFFFF"/>
        </w:rPr>
      </w:pPr>
      <w:r>
        <w:rPr>
          <w:rFonts w:hint="eastAsia" w:ascii="楷体_GB2312" w:hAnsi="楷体_GB2312" w:eastAsia="楷体_GB2312" w:cs="楷体_GB2312"/>
          <w:i w:val="0"/>
          <w:caps w:val="0"/>
          <w:color w:val="1F1F1F"/>
          <w:spacing w:val="0"/>
          <w:sz w:val="32"/>
          <w:szCs w:val="32"/>
          <w:shd w:val="clear" w:color="auto" w:fill="FFFFFF"/>
          <w:lang w:val="en-US" w:eastAsia="zh-CN"/>
        </w:rPr>
        <w:t>（四）政务公开时限和更新频率进一步提高。</w:t>
      </w:r>
      <w:r>
        <w:rPr>
          <w:rFonts w:hint="eastAsia" w:ascii="仿宋_GB2312" w:hAnsi="仿宋_GB2312" w:eastAsia="仿宋_GB2312" w:cs="仿宋_GB2312"/>
          <w:i w:val="0"/>
          <w:caps w:val="0"/>
          <w:color w:val="1F1F1F"/>
          <w:spacing w:val="0"/>
          <w:sz w:val="32"/>
          <w:szCs w:val="32"/>
          <w:shd w:val="clear" w:color="auto" w:fill="FFFFFF"/>
        </w:rPr>
        <w:t>我</w:t>
      </w:r>
      <w:r>
        <w:rPr>
          <w:rFonts w:hint="eastAsia" w:ascii="仿宋_GB2312" w:hAnsi="仿宋_GB2312" w:eastAsia="仿宋_GB2312" w:cs="仿宋_GB2312"/>
          <w:i w:val="0"/>
          <w:caps w:val="0"/>
          <w:color w:val="1F1F1F"/>
          <w:spacing w:val="0"/>
          <w:sz w:val="32"/>
          <w:szCs w:val="32"/>
          <w:shd w:val="clear" w:color="auto" w:fill="FFFFFF"/>
          <w:lang w:eastAsia="zh-CN"/>
        </w:rPr>
        <w:t>局</w:t>
      </w:r>
      <w:r>
        <w:rPr>
          <w:rFonts w:hint="eastAsia" w:ascii="仿宋_GB2312" w:hAnsi="仿宋_GB2312" w:eastAsia="仿宋_GB2312" w:cs="仿宋_GB2312"/>
          <w:i w:val="0"/>
          <w:caps w:val="0"/>
          <w:color w:val="1F1F1F"/>
          <w:spacing w:val="0"/>
          <w:sz w:val="32"/>
          <w:szCs w:val="32"/>
          <w:shd w:val="clear" w:color="auto" w:fill="FFFFFF"/>
        </w:rPr>
        <w:t>对公开的政务信息规定了明确的时限和更新频率。对于常规性的政务信息，在信息产生后5个工作日内公开；对于涉及重大事项的信息，在事项发生后24小时内公开。根据实际情况，定期更新网站内容和其他公开形式的信息。</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outlineLvl w:val="9"/>
        <w:rPr>
          <w:rFonts w:hint="eastAsia" w:ascii="黑体" w:hAnsi="黑体" w:eastAsia="黑体" w:cs="黑体"/>
          <w:sz w:val="30"/>
          <w:szCs w:val="30"/>
        </w:rPr>
      </w:pPr>
      <w:r>
        <w:rPr>
          <w:rFonts w:hint="eastAsia" w:ascii="黑体" w:hAnsi="黑体" w:eastAsia="黑体" w:cs="黑体"/>
          <w:color w:val="000000"/>
          <w:sz w:val="32"/>
          <w:szCs w:val="32"/>
          <w:lang w:eastAsia="zh-CN"/>
        </w:rPr>
        <w:t>二、主动公开政府信息情况</w:t>
      </w:r>
    </w:p>
    <w:tbl>
      <w:tblPr>
        <w:tblStyle w:val="6"/>
        <w:tblW w:w="9345" w:type="dxa"/>
        <w:tblInd w:w="-3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7"/>
        <w:gridCol w:w="2492"/>
        <w:gridCol w:w="2268"/>
        <w:gridCol w:w="2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制发件数</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废止件数</w:t>
            </w:r>
          </w:p>
        </w:tc>
        <w:tc>
          <w:tcPr>
            <w:tcW w:w="22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lang w:eastAsia="zh-CN"/>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规章</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0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行政</w:t>
            </w:r>
            <w:r>
              <w:rPr>
                <w:rFonts w:hint="eastAsia" w:ascii="仿宋_GB2312" w:hAnsi="仿宋_GB2312" w:eastAsia="仿宋_GB2312" w:cs="仿宋_GB2312"/>
                <w:sz w:val="24"/>
                <w:szCs w:val="24"/>
              </w:rPr>
              <w:t>规范性文件</w:t>
            </w:r>
          </w:p>
        </w:tc>
        <w:tc>
          <w:tcPr>
            <w:tcW w:w="2492"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2268"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2208" w:type="dxa"/>
            <w:noWrap w:val="0"/>
            <w:vAlign w:val="center"/>
          </w:tcPr>
          <w:p>
            <w:pPr>
              <w:jc w:val="center"/>
              <w:rPr>
                <w:rFonts w:hint="default"/>
                <w:lang w:val="en-US" w:eastAsia="zh-CN"/>
              </w:rPr>
            </w:pPr>
            <w:r>
              <w:rPr>
                <w:rFonts w:hint="eastAsia" w:ascii="方正仿宋_GBK" w:hAnsi="方正仿宋_GBK" w:eastAsia="方正仿宋_GBK" w:cs="方正仿宋_GBK"/>
                <w:sz w:val="24"/>
                <w:szCs w:val="24"/>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lang w:eastAsia="zh-CN"/>
              </w:rPr>
              <w:t>本年</w:t>
            </w:r>
            <w:r>
              <w:rPr>
                <w:rFonts w:hint="eastAsia" w:ascii="黑体" w:hAnsi="黑体" w:eastAsia="黑体" w:cs="黑体"/>
                <w:b w:val="0"/>
                <w:bCs w:val="0"/>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行政许可</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7310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lang w:eastAsia="zh-CN"/>
              </w:rPr>
              <w:t>本年</w:t>
            </w:r>
            <w:r>
              <w:rPr>
                <w:rFonts w:hint="eastAsia" w:ascii="黑体" w:hAnsi="黑体" w:eastAsia="黑体" w:cs="黑体"/>
                <w:b w:val="0"/>
                <w:bCs w:val="0"/>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行政处罚</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行政强制</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45" w:type="dxa"/>
            <w:gridSpan w:val="4"/>
            <w:noWrap w:val="0"/>
            <w:vAlign w:val="top"/>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rPr>
            </w:pPr>
            <w:r>
              <w:rPr>
                <w:rFonts w:hint="eastAsia" w:ascii="黑体" w:hAnsi="黑体" w:eastAsia="黑体" w:cs="黑体"/>
                <w:b w:val="0"/>
                <w:bCs w:val="0"/>
                <w:sz w:val="24"/>
                <w:szCs w:val="24"/>
              </w:rPr>
              <w:t>信息内容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rPr>
              <w:t>本年</w:t>
            </w:r>
            <w:r>
              <w:rPr>
                <w:rFonts w:hint="eastAsia" w:ascii="黑体" w:hAnsi="黑体" w:eastAsia="黑体" w:cs="黑体"/>
                <w:b w:val="0"/>
                <w:bCs w:val="0"/>
                <w:sz w:val="24"/>
                <w:szCs w:val="24"/>
                <w:lang w:eastAsia="zh-CN"/>
              </w:rPr>
              <w:t>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行政事业性收费</w:t>
            </w:r>
          </w:p>
        </w:tc>
        <w:tc>
          <w:tcPr>
            <w:tcW w:w="6968" w:type="dxa"/>
            <w:gridSpan w:val="3"/>
            <w:noWrap w:val="0"/>
            <w:vAlign w:val="center"/>
          </w:tcPr>
          <w:p>
            <w:pPr>
              <w:keepNext w:val="0"/>
              <w:keepLines w:val="0"/>
              <w:pageBreakBefore w:val="0"/>
              <w:kinsoku/>
              <w:wordWrap/>
              <w:overflowPunct/>
              <w:topLinePunct w:val="0"/>
              <w:autoSpaceDE/>
              <w:autoSpaceDN/>
              <w:bidi w:val="0"/>
              <w:spacing w:line="400" w:lineRule="exact"/>
              <w:jc w:val="center"/>
              <w:textAlignment w:val="auto"/>
              <w:outlineLvl w:val="9"/>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442.25</w:t>
            </w:r>
          </w:p>
        </w:tc>
      </w:tr>
    </w:tbl>
    <w:p>
      <w:pPr>
        <w:keepNext w:val="0"/>
        <w:keepLines w:val="0"/>
        <w:pageBreakBefore w:val="0"/>
        <w:widowControl w:val="0"/>
        <w:numPr>
          <w:ilvl w:val="0"/>
          <w:numId w:val="0"/>
        </w:numPr>
        <w:kinsoku/>
        <w:wordWrap/>
        <w:overflowPunct/>
        <w:topLinePunct w:val="0"/>
        <w:autoSpaceDE/>
        <w:autoSpaceDN/>
        <w:bidi w:val="0"/>
        <w:adjustRightInd/>
        <w:snapToGrid/>
        <w:spacing w:line="660" w:lineRule="exact"/>
        <w:ind w:firstLine="640" w:firstLineChars="200"/>
        <w:textAlignment w:val="auto"/>
        <w:outlineLvl w:val="9"/>
        <w:rPr>
          <w:rFonts w:ascii="黑体" w:hAnsi="黑体" w:eastAsia="黑体"/>
          <w:sz w:val="30"/>
          <w:szCs w:val="30"/>
        </w:rPr>
      </w:pPr>
      <w:r>
        <w:rPr>
          <w:rFonts w:hint="eastAsia" w:ascii="黑体" w:hAnsi="黑体" w:eastAsia="黑体" w:cs="黑体"/>
          <w:color w:val="000000"/>
          <w:sz w:val="32"/>
          <w:szCs w:val="32"/>
          <w:lang w:val="en-US" w:eastAsia="zh-CN"/>
        </w:rPr>
        <w:t>三、收到和处理政府信息公开申请情况</w:t>
      </w:r>
    </w:p>
    <w:tbl>
      <w:tblPr>
        <w:tblStyle w:val="6"/>
        <w:tblW w:w="9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1125"/>
        <w:gridCol w:w="16"/>
        <w:gridCol w:w="2029"/>
        <w:gridCol w:w="839"/>
        <w:gridCol w:w="709"/>
        <w:gridCol w:w="709"/>
        <w:gridCol w:w="800"/>
        <w:gridCol w:w="780"/>
        <w:gridCol w:w="570"/>
        <w:gridCol w:w="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ascii="宋体" w:hAnsi="宋体"/>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5154" w:type="dxa"/>
            <w:gridSpan w:val="7"/>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ascii="宋体" w:hAnsi="宋体"/>
                <w:sz w:val="18"/>
                <w:szCs w:val="18"/>
              </w:rPr>
            </w:pPr>
          </w:p>
        </w:tc>
        <w:tc>
          <w:tcPr>
            <w:tcW w:w="839" w:type="dxa"/>
            <w:vMerge w:val="restart"/>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自然人</w:t>
            </w:r>
          </w:p>
        </w:tc>
        <w:tc>
          <w:tcPr>
            <w:tcW w:w="3568" w:type="dxa"/>
            <w:gridSpan w:val="5"/>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法人或其他组织</w:t>
            </w:r>
          </w:p>
        </w:tc>
        <w:tc>
          <w:tcPr>
            <w:tcW w:w="747" w:type="dxa"/>
            <w:vMerge w:val="restart"/>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25" w:type="dxa"/>
            <w:gridSpan w:val="4"/>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ascii="宋体" w:hAnsi="宋体"/>
                <w:sz w:val="18"/>
                <w:szCs w:val="18"/>
              </w:rPr>
            </w:pPr>
          </w:p>
        </w:tc>
        <w:tc>
          <w:tcPr>
            <w:tcW w:w="839"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黑体" w:hAnsi="黑体" w:eastAsia="黑体" w:cs="黑体"/>
                <w:sz w:val="24"/>
                <w:szCs w:val="24"/>
              </w:rPr>
            </w:pP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商业企业</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科研机构</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社会公益组织</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法律服务机构</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其他</w:t>
            </w:r>
          </w:p>
        </w:tc>
        <w:tc>
          <w:tcPr>
            <w:tcW w:w="747"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黑体" w:hAnsi="黑体" w:eastAsia="黑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225" w:type="dxa"/>
            <w:gridSpan w:val="4"/>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一、本年新收政府信息公开申请数量</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225" w:type="dxa"/>
            <w:gridSpan w:val="4"/>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二、上年转结政府信息公开申请数量</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三、本年度办理结果</w:t>
            </w:r>
          </w:p>
        </w:tc>
        <w:tc>
          <w:tcPr>
            <w:tcW w:w="317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（一）予以公开</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317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（二）部分公开（区分处理的，只计这一情形，不计其他情形）</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（三）不予公开</w:t>
            </w: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1.属于国家秘密</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2.其他法律行政法规禁止公开</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3.危及“三安全一稳定”</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4.保护第三方合法权益</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5.属于三类内部事务信息</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6.属于四类过程性信息</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both"/>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7.属于行政执法案卷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8.属于行政查询事项</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（四）无法提供</w:t>
            </w: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1.本机关不掌握相关政府信息</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2.没有现成信息需要另行制作</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ind w:firstLine="240" w:firstLineChars="100"/>
              <w:jc w:val="both"/>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3.补正后申请内容仍不明确</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ind w:firstLine="240" w:firstLineChars="100"/>
              <w:jc w:val="both"/>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（五）不予处理</w:t>
            </w: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1.信访举报投诉类申请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ind w:firstLine="240" w:firstLineChars="100"/>
              <w:jc w:val="both"/>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2.重复申请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ind w:firstLine="240" w:firstLineChars="100"/>
              <w:jc w:val="both"/>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3.要求提供公开出版物</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4.无正当理由大量反复申请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41" w:type="dxa"/>
            <w:gridSpan w:val="2"/>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29" w:type="dxa"/>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5.要求行政机关确认或重新出具已获取信息</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25" w:type="dxa"/>
            <w:vMerge w:val="restart"/>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（六）其他处理</w:t>
            </w:r>
          </w:p>
        </w:tc>
        <w:tc>
          <w:tcPr>
            <w:tcW w:w="2045" w:type="dxa"/>
            <w:gridSpan w:val="2"/>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1.申请人无正当理由逾期不补正、行政机关不再处理其政府信息公开申请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2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45" w:type="dxa"/>
            <w:gridSpan w:val="2"/>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2.申请人逾期未按收费通知要求缴纳费用、行政机关不再处理其政府信息公开申请</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112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2045" w:type="dxa"/>
            <w:gridSpan w:val="2"/>
            <w:noWrap w:val="0"/>
            <w:vAlign w:val="center"/>
          </w:tcPr>
          <w:p>
            <w:pPr>
              <w:keepNext w:val="0"/>
              <w:keepLines w:val="0"/>
              <w:pageBreakBefore w:val="0"/>
              <w:kinsoku/>
              <w:wordWrap/>
              <w:overflowPunct/>
              <w:topLinePunct w:val="0"/>
              <w:autoSpaceDE/>
              <w:autoSpaceDN/>
              <w:bidi w:val="0"/>
              <w:spacing w:line="40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3.其他</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1055" w:type="dxa"/>
            <w:vMerge w:val="continue"/>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p>
        </w:tc>
        <w:tc>
          <w:tcPr>
            <w:tcW w:w="3170" w:type="dxa"/>
            <w:gridSpan w:val="3"/>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（七）总计</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225" w:type="dxa"/>
            <w:gridSpan w:val="4"/>
            <w:noWrap w:val="0"/>
            <w:vAlign w:val="center"/>
          </w:tcPr>
          <w:p>
            <w:pPr>
              <w:keepNext w:val="0"/>
              <w:keepLines w:val="0"/>
              <w:pageBreakBefore w:val="0"/>
              <w:kinsoku/>
              <w:wordWrap/>
              <w:overflowPunct/>
              <w:topLinePunct w:val="0"/>
              <w:autoSpaceDE/>
              <w:autoSpaceDN/>
              <w:bidi w:val="0"/>
              <w:spacing w:line="400" w:lineRule="exact"/>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四、转结下年度继续办理</w:t>
            </w:r>
          </w:p>
        </w:tc>
        <w:tc>
          <w:tcPr>
            <w:tcW w:w="83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0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80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8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74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bl>
    <w:p>
      <w:pPr>
        <w:keepNext w:val="0"/>
        <w:keepLines w:val="0"/>
        <w:pageBreakBefore w:val="0"/>
        <w:numPr>
          <w:ilvl w:val="0"/>
          <w:numId w:val="0"/>
        </w:numPr>
        <w:kinsoku/>
        <w:wordWrap/>
        <w:overflowPunct/>
        <w:topLinePunct w:val="0"/>
        <w:autoSpaceDE/>
        <w:autoSpaceDN/>
        <w:bidi w:val="0"/>
        <w:spacing w:before="312" w:beforeLines="100" w:after="156" w:afterLines="50" w:line="400" w:lineRule="exact"/>
        <w:ind w:firstLine="640" w:firstLineChars="200"/>
        <w:textAlignment w:val="auto"/>
        <w:outlineLvl w:val="0"/>
        <w:rPr>
          <w:rFonts w:hint="eastAsia" w:ascii="黑体" w:hAnsi="黑体" w:eastAsia="黑体"/>
          <w:sz w:val="30"/>
          <w:szCs w:val="30"/>
        </w:rPr>
      </w:pPr>
      <w:r>
        <w:rPr>
          <w:rFonts w:hint="eastAsia" w:ascii="黑体" w:hAnsi="黑体" w:eastAsia="黑体" w:cs="黑体"/>
          <w:snapToGrid w:val="0"/>
          <w:color w:val="000000"/>
          <w:sz w:val="32"/>
          <w:szCs w:val="32"/>
          <w:shd w:val="clear" w:color="auto" w:fill="FFFFFF"/>
          <w:lang w:val="en-US" w:eastAsia="zh-CN"/>
        </w:rPr>
        <w:t>四、政府信息公开行政复议、行政诉讼情况</w:t>
      </w:r>
    </w:p>
    <w:tbl>
      <w:tblPr>
        <w:tblStyle w:val="6"/>
        <w:tblW w:w="93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553"/>
        <w:gridCol w:w="553"/>
        <w:gridCol w:w="520"/>
        <w:gridCol w:w="586"/>
        <w:gridCol w:w="629"/>
        <w:gridCol w:w="477"/>
        <w:gridCol w:w="553"/>
        <w:gridCol w:w="470"/>
        <w:gridCol w:w="636"/>
        <w:gridCol w:w="553"/>
        <w:gridCol w:w="553"/>
        <w:gridCol w:w="553"/>
        <w:gridCol w:w="553"/>
        <w:gridCol w:w="1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3" w:type="dxa"/>
            <w:gridSpan w:val="5"/>
            <w:vMerge w:val="restart"/>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行政复议</w:t>
            </w:r>
          </w:p>
        </w:tc>
        <w:tc>
          <w:tcPr>
            <w:tcW w:w="6493" w:type="dxa"/>
            <w:gridSpan w:val="10"/>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73" w:type="dxa"/>
            <w:gridSpan w:val="5"/>
            <w:vMerge w:val="continue"/>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p>
        </w:tc>
        <w:tc>
          <w:tcPr>
            <w:tcW w:w="2765" w:type="dxa"/>
            <w:gridSpan w:val="5"/>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未经复议直接起诉</w:t>
            </w:r>
          </w:p>
        </w:tc>
        <w:tc>
          <w:tcPr>
            <w:tcW w:w="3728" w:type="dxa"/>
            <w:gridSpan w:val="5"/>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黑体" w:hAnsi="黑体" w:eastAsia="黑体" w:cs="黑体"/>
                <w:b w:val="0"/>
                <w:bCs w:val="0"/>
                <w:sz w:val="24"/>
                <w:szCs w:val="24"/>
              </w:rPr>
            </w:pPr>
            <w:r>
              <w:rPr>
                <w:rFonts w:hint="eastAsia" w:ascii="黑体" w:hAnsi="黑体" w:eastAsia="黑体" w:cs="黑体"/>
                <w:b w:val="0"/>
                <w:bCs w:val="0"/>
                <w:sz w:val="24"/>
                <w:szCs w:val="24"/>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6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2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58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62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4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4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3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151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661"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2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629"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477"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470"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63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53"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1516" w:type="dxa"/>
            <w:noWrap w:val="0"/>
            <w:vAlign w:val="center"/>
          </w:tcPr>
          <w:p>
            <w:pPr>
              <w:keepNext w:val="0"/>
              <w:keepLines w:val="0"/>
              <w:pageBreakBefore w:val="0"/>
              <w:kinsoku/>
              <w:wordWrap/>
              <w:overflowPunct/>
              <w:topLinePunct w:val="0"/>
              <w:autoSpaceDE/>
              <w:autoSpaceDN/>
              <w:bidi w:val="0"/>
              <w:spacing w:line="400" w:lineRule="exact"/>
              <w:jc w:val="center"/>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bl>
    <w:p>
      <w:pPr>
        <w:shd w:val="clear" w:color="auto" w:fill="FFFFFF"/>
        <w:spacing w:after="240"/>
        <w:rPr>
          <w:rFonts w:hint="eastAsia" w:ascii="黑体" w:hAnsi="黑体" w:eastAsia="黑体" w:cs="宋体"/>
          <w:bCs/>
          <w:color w:val="000000"/>
          <w:kern w:val="0"/>
          <w:sz w:val="32"/>
          <w:szCs w:val="32"/>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ascii="黑体" w:hAnsi="黑体" w:eastAsia="黑体" w:cs="宋体"/>
          <w:bCs/>
          <w:color w:val="000000"/>
          <w:kern w:val="0"/>
          <w:sz w:val="32"/>
          <w:szCs w:val="32"/>
        </w:rPr>
      </w:pPr>
      <w:r>
        <w:rPr>
          <w:rFonts w:hint="eastAsia" w:ascii="黑体" w:hAnsi="黑体" w:eastAsia="黑体" w:cs="宋体"/>
          <w:bCs/>
          <w:color w:val="000000"/>
          <w:kern w:val="0"/>
          <w:sz w:val="32"/>
          <w:szCs w:val="32"/>
        </w:rPr>
        <w:t>五、存在的主要问题及改进情况</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pPr>
      <w:r>
        <w:rPr>
          <w:rFonts w:hint="eastAsia" w:ascii="仿宋_GB2312" w:hAnsi="仿宋_GB2312" w:eastAsia="仿宋_GB2312" w:cs="仿宋_GB2312"/>
          <w:i w:val="0"/>
          <w:caps w:val="0"/>
          <w:color w:val="1F1F1F"/>
          <w:spacing w:val="0"/>
          <w:sz w:val="32"/>
          <w:szCs w:val="32"/>
          <w:shd w:val="clear" w:color="auto" w:fill="FFFFFF"/>
        </w:rPr>
        <w:t>在实施政务公开工作中，我们也遇到了一些问题，</w:t>
      </w:r>
      <w:r>
        <w:rPr>
          <w:rFonts w:ascii="仿宋_GB2312" w:hAnsi="宋体" w:eastAsia="仿宋_GB2312" w:cs="仿宋_GB2312"/>
          <w:i w:val="0"/>
          <w:iCs w:val="0"/>
          <w:caps w:val="0"/>
          <w:color w:val="333333"/>
          <w:spacing w:val="0"/>
          <w:kern w:val="0"/>
          <w:sz w:val="31"/>
          <w:szCs w:val="31"/>
          <w:shd w:val="clear" w:fill="FFFFFF"/>
          <w:lang w:val="en-US" w:eastAsia="zh-CN" w:bidi="ar"/>
        </w:rPr>
        <w:t>一是政府信息公开内容深度和广度还不够；二是形式内容上还有待进一步扩面提质，利用视频、音频等多媒较少。</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65"/>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1F1F1F"/>
          <w:spacing w:val="0"/>
          <w:sz w:val="32"/>
          <w:szCs w:val="32"/>
          <w:shd w:val="clear" w:color="auto" w:fill="FFFFFF"/>
        </w:rPr>
        <w:t>为了解决这些问题，我们将采取以下改进措施</w:t>
      </w:r>
      <w:r>
        <w:rPr>
          <w:rFonts w:hint="eastAsia" w:ascii="仿宋_GB2312" w:hAnsi="仿宋_GB2312" w:eastAsia="仿宋_GB2312" w:cs="仿宋_GB2312"/>
          <w:i w:val="0"/>
          <w:caps w:val="0"/>
          <w:color w:val="1F1F1F"/>
          <w:spacing w:val="0"/>
          <w:sz w:val="32"/>
          <w:szCs w:val="32"/>
          <w:shd w:val="clear" w:color="auto" w:fill="FFFFFF"/>
          <w:lang w:eastAsia="zh-CN"/>
        </w:rPr>
        <w:t>：</w:t>
      </w:r>
      <w:r>
        <w:rPr>
          <w:rFonts w:hint="eastAsia" w:ascii="仿宋_GB2312" w:hAnsi="Arial" w:eastAsia="仿宋_GB2312" w:cs="仿宋_GB2312"/>
          <w:i w:val="0"/>
          <w:iCs w:val="0"/>
          <w:caps w:val="0"/>
          <w:color w:val="333333"/>
          <w:spacing w:val="0"/>
          <w:sz w:val="31"/>
          <w:szCs w:val="31"/>
          <w:shd w:val="clear" w:fill="FFFFFF"/>
          <w:lang w:val="en-US" w:eastAsia="zh-CN"/>
        </w:rPr>
        <w:t>1</w:t>
      </w:r>
      <w:r>
        <w:rPr>
          <w:rFonts w:ascii="仿宋_GB2312" w:hAnsi="Arial" w:eastAsia="仿宋_GB2312" w:cs="仿宋_GB2312"/>
          <w:i w:val="0"/>
          <w:iCs w:val="0"/>
          <w:caps w:val="0"/>
          <w:color w:val="333333"/>
          <w:spacing w:val="0"/>
          <w:sz w:val="31"/>
          <w:szCs w:val="31"/>
          <w:shd w:val="clear" w:fill="FFFFFF"/>
        </w:rPr>
        <w:t>查漏补缺，做到全公开</w:t>
      </w:r>
      <w:r>
        <w:rPr>
          <w:rFonts w:hint="eastAsia" w:ascii="仿宋_GB2312" w:hAnsi="Arial" w:eastAsia="仿宋_GB2312" w:cs="仿宋_GB2312"/>
          <w:i w:val="0"/>
          <w:iCs w:val="0"/>
          <w:caps w:val="0"/>
          <w:color w:val="333333"/>
          <w:spacing w:val="0"/>
          <w:sz w:val="31"/>
          <w:szCs w:val="31"/>
          <w:shd w:val="clear" w:fill="FFFFFF"/>
          <w:lang w:val="en-US" w:eastAsia="zh-CN"/>
        </w:rPr>
        <w:t>,</w:t>
      </w:r>
      <w:r>
        <w:rPr>
          <w:rFonts w:hint="default" w:ascii="仿宋_GB2312" w:hAnsi="Arial" w:eastAsia="仿宋_GB2312" w:cs="仿宋_GB2312"/>
          <w:i w:val="0"/>
          <w:iCs w:val="0"/>
          <w:caps w:val="0"/>
          <w:color w:val="333333"/>
          <w:spacing w:val="0"/>
          <w:sz w:val="31"/>
          <w:szCs w:val="31"/>
          <w:shd w:val="clear" w:fill="FFFFFF"/>
        </w:rPr>
        <w:t>要求各科室对照工作及时公开。</w:t>
      </w:r>
      <w:r>
        <w:rPr>
          <w:rFonts w:hint="eastAsia" w:ascii="仿宋_GB2312" w:hAnsi="Arial" w:eastAsia="仿宋_GB2312" w:cs="仿宋_GB2312"/>
          <w:i w:val="0"/>
          <w:iCs w:val="0"/>
          <w:caps w:val="0"/>
          <w:color w:val="333333"/>
          <w:spacing w:val="0"/>
          <w:sz w:val="31"/>
          <w:szCs w:val="31"/>
          <w:shd w:val="clear" w:fill="FFFFFF"/>
          <w:lang w:val="en-US" w:eastAsia="zh-CN"/>
        </w:rPr>
        <w:t>2.</w:t>
      </w:r>
      <w:r>
        <w:rPr>
          <w:rFonts w:hint="default" w:ascii="仿宋_GB2312" w:hAnsi="Arial" w:eastAsia="仿宋_GB2312" w:cs="仿宋_GB2312"/>
          <w:i w:val="0"/>
          <w:iCs w:val="0"/>
          <w:caps w:val="0"/>
          <w:color w:val="333333"/>
          <w:spacing w:val="0"/>
          <w:sz w:val="31"/>
          <w:szCs w:val="31"/>
          <w:shd w:val="clear" w:fill="FFFFFF"/>
        </w:rPr>
        <w:t>扎实做好重点领域公开。利用视频、音频、图解等进行公开，丰富公开</w:t>
      </w:r>
      <w:r>
        <w:rPr>
          <w:rFonts w:hint="eastAsia" w:ascii="仿宋_GB2312" w:hAnsi="Arial" w:eastAsia="仿宋_GB2312" w:cs="仿宋_GB2312"/>
          <w:i w:val="0"/>
          <w:iCs w:val="0"/>
          <w:caps w:val="0"/>
          <w:color w:val="333333"/>
          <w:spacing w:val="0"/>
          <w:sz w:val="31"/>
          <w:szCs w:val="31"/>
          <w:shd w:val="clear" w:fill="FFFFFF"/>
          <w:lang w:eastAsia="zh-CN"/>
        </w:rPr>
        <w:t>形式</w:t>
      </w:r>
      <w:r>
        <w:rPr>
          <w:rFonts w:hint="default" w:ascii="仿宋_GB2312" w:hAnsi="Arial" w:eastAsia="仿宋_GB2312" w:cs="仿宋_GB2312"/>
          <w:i w:val="0"/>
          <w:iCs w:val="0"/>
          <w:caps w:val="0"/>
          <w:color w:val="333333"/>
          <w:spacing w:val="0"/>
          <w:sz w:val="31"/>
          <w:szCs w:val="31"/>
          <w:shd w:val="clear" w:fill="FFFFFF"/>
        </w:rPr>
        <w:t>。</w:t>
      </w:r>
      <w:r>
        <w:rPr>
          <w:rFonts w:hint="eastAsia" w:ascii="仿宋_GB2312" w:hAnsi="Arial" w:eastAsia="仿宋_GB2312" w:cs="仿宋_GB2312"/>
          <w:i w:val="0"/>
          <w:iCs w:val="0"/>
          <w:caps w:val="0"/>
          <w:color w:val="333333"/>
          <w:spacing w:val="0"/>
          <w:sz w:val="31"/>
          <w:szCs w:val="31"/>
          <w:shd w:val="clear" w:fill="FFFFFF"/>
          <w:lang w:val="en-US" w:eastAsia="zh-CN"/>
        </w:rPr>
        <w:t>3.</w:t>
      </w:r>
      <w:r>
        <w:rPr>
          <w:rFonts w:hint="default" w:ascii="仿宋_GB2312" w:hAnsi="Arial" w:eastAsia="仿宋_GB2312" w:cs="仿宋_GB2312"/>
          <w:i w:val="0"/>
          <w:iCs w:val="0"/>
          <w:caps w:val="0"/>
          <w:color w:val="333333"/>
          <w:spacing w:val="0"/>
          <w:sz w:val="31"/>
          <w:szCs w:val="31"/>
          <w:shd w:val="clear" w:fill="FFFFFF"/>
        </w:rPr>
        <w:t>增强解读回应参与实效。对政府出台的重要政策，要认真做好舆情风险评估，对公众存在疑虑或误解的，要耐心细致做好解释说明</w:t>
      </w:r>
      <w:r>
        <w:rPr>
          <w:rFonts w:hint="eastAsia" w:ascii="仿宋_GB2312" w:hAnsi="Arial" w:eastAsia="仿宋_GB2312" w:cs="仿宋_GB2312"/>
          <w:i w:val="0"/>
          <w:iCs w:val="0"/>
          <w:caps w:val="0"/>
          <w:color w:val="333333"/>
          <w:spacing w:val="0"/>
          <w:sz w:val="31"/>
          <w:szCs w:val="31"/>
          <w:shd w:val="clear" w:fill="FFFFFF"/>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80"/>
        <w:jc w:val="left"/>
        <w:textAlignment w:val="auto"/>
        <w:rPr>
          <w:rFonts w:ascii="黑体" w:hAnsi="黑体" w:eastAsia="黑体" w:cs="宋体"/>
          <w:color w:val="000000"/>
          <w:kern w:val="0"/>
          <w:sz w:val="32"/>
          <w:szCs w:val="32"/>
        </w:rPr>
      </w:pPr>
      <w:r>
        <w:rPr>
          <w:rFonts w:hint="eastAsia" w:ascii="黑体" w:hAnsi="黑体" w:eastAsia="黑体" w:cs="宋体"/>
          <w:bCs/>
          <w:color w:val="000000"/>
          <w:kern w:val="0"/>
          <w:sz w:val="32"/>
          <w:szCs w:val="32"/>
        </w:rPr>
        <w:t>六、其他需要报告的事项</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firstLine="640" w:firstLineChars="200"/>
        <w:jc w:val="left"/>
        <w:textAlignment w:val="auto"/>
        <w:rPr>
          <w:rFonts w:hint="eastAsia" w:ascii="仿宋_GB2312" w:hAnsi="仿宋_GB2312" w:eastAsia="仿宋_GB2312" w:cs="仿宋_GB2312"/>
          <w:color w:val="auto"/>
          <w:sz w:val="32"/>
          <w:szCs w:val="32"/>
          <w:lang w:eastAsia="zh-CN"/>
        </w:rPr>
      </w:pPr>
      <w:r>
        <w:rPr>
          <w:rFonts w:hint="eastAsia" w:ascii="仿宋" w:hAnsi="仿宋" w:eastAsia="仿宋"/>
          <w:color w:val="auto"/>
          <w:kern w:val="2"/>
          <w:sz w:val="32"/>
          <w:shd w:val="clear" w:color="auto" w:fill="FFFFFF"/>
          <w:lang w:eastAsia="zh-CN"/>
        </w:rPr>
        <w:t>本机关</w:t>
      </w:r>
      <w:r>
        <w:rPr>
          <w:rFonts w:hint="eastAsia" w:ascii="仿宋" w:hAnsi="仿宋" w:eastAsia="仿宋"/>
          <w:color w:val="auto"/>
          <w:kern w:val="2"/>
          <w:sz w:val="32"/>
          <w:shd w:val="clear" w:color="auto" w:fill="FFFFFF"/>
          <w:lang w:val="en-US" w:eastAsia="zh-CN"/>
        </w:rPr>
        <w:t>2024年度</w:t>
      </w:r>
      <w:r>
        <w:rPr>
          <w:rFonts w:hint="eastAsia" w:ascii="仿宋_GB2312" w:hAnsi="仿宋_GB2312" w:eastAsia="仿宋_GB2312" w:cs="仿宋_GB2312"/>
          <w:color w:val="auto"/>
          <w:sz w:val="32"/>
          <w:szCs w:val="32"/>
        </w:rPr>
        <w:t>受理依申请公开信息</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件</w:t>
      </w:r>
      <w:r>
        <w:rPr>
          <w:rFonts w:hint="eastAsia" w:ascii="仿宋" w:hAnsi="仿宋" w:eastAsia="仿宋"/>
          <w:color w:val="auto"/>
          <w:kern w:val="2"/>
          <w:sz w:val="32"/>
          <w:shd w:val="clear" w:color="auto" w:fill="FFFFFF"/>
          <w:lang w:val="en-US" w:eastAsia="zh-CN"/>
        </w:rPr>
        <w:t>，</w:t>
      </w:r>
      <w:r>
        <w:rPr>
          <w:rFonts w:hint="eastAsia" w:ascii="仿宋_GB2312" w:hAnsi="仿宋_GB2312" w:eastAsia="仿宋_GB2312" w:cs="仿宋_GB2312"/>
          <w:color w:val="auto"/>
          <w:kern w:val="0"/>
          <w:sz w:val="32"/>
          <w:szCs w:val="32"/>
          <w:lang w:val="en-US" w:eastAsia="zh-CN" w:bidi="ar"/>
        </w:rPr>
        <w:t>根据国务院办公厅印发的《政府信息公开信息处理费管理办法》和浙江省政府办公厅、宁波市政府办公厅关于政府信息公开信息处理费收取工作的有关规定，</w:t>
      </w:r>
      <w:r>
        <w:rPr>
          <w:rFonts w:hint="eastAsia" w:ascii="仿宋_GB2312" w:hAnsi="仿宋_GB2312" w:eastAsia="仿宋_GB2312" w:cs="仿宋_GB2312"/>
          <w:color w:val="auto"/>
          <w:sz w:val="32"/>
          <w:szCs w:val="32"/>
          <w:lang w:eastAsia="zh-CN"/>
        </w:rPr>
        <w:t>本机关全年没有收到超出一定数量或者频次范围的政府信息公开申请，也未对申请人收取信息处理费。</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left"/>
        <w:textAlignment w:val="auto"/>
        <w:rPr>
          <w:rFonts w:hint="default" w:ascii="仿宋" w:hAnsi="仿宋" w:eastAsia="仿宋"/>
          <w:color w:val="000000"/>
          <w:kern w:val="2"/>
          <w:sz w:val="32"/>
          <w:shd w:val="clear" w:color="auto" w:fill="FFFFFF"/>
          <w:lang w:val="en-US" w:eastAsia="zh-CN"/>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left"/>
        <w:textAlignment w:val="auto"/>
        <w:rPr>
          <w:rFonts w:hint="eastAsia" w:ascii="仿宋" w:hAnsi="仿宋" w:eastAsia="仿宋"/>
          <w:color w:val="000000"/>
          <w:kern w:val="2"/>
          <w:sz w:val="32"/>
          <w:shd w:val="clear" w:color="auto" w:fill="FFFFFF"/>
          <w:lang w:eastAsia="zh-CN"/>
        </w:rPr>
      </w:pP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5120" w:firstLineChars="1600"/>
        <w:jc w:val="left"/>
        <w:textAlignment w:val="auto"/>
        <w:rPr>
          <w:rFonts w:ascii="仿宋" w:hAnsi="仿宋" w:eastAsia="仿宋"/>
          <w:color w:val="000000"/>
          <w:kern w:val="2"/>
          <w:sz w:val="32"/>
          <w:shd w:val="clear" w:color="auto" w:fill="FFFFFF"/>
        </w:rPr>
      </w:pPr>
      <w:r>
        <w:rPr>
          <w:rFonts w:hint="eastAsia" w:ascii="仿宋" w:hAnsi="仿宋" w:eastAsia="仿宋"/>
          <w:color w:val="000000"/>
          <w:kern w:val="2"/>
          <w:sz w:val="32"/>
          <w:shd w:val="clear" w:color="auto" w:fill="FFFFFF"/>
          <w:lang w:eastAsia="zh-CN"/>
        </w:rPr>
        <w:t>宁波市</w:t>
      </w:r>
      <w:r>
        <w:rPr>
          <w:rFonts w:hint="eastAsia" w:ascii="仿宋" w:hAnsi="仿宋" w:eastAsia="仿宋"/>
          <w:color w:val="000000"/>
          <w:kern w:val="2"/>
          <w:sz w:val="32"/>
          <w:shd w:val="clear" w:color="auto" w:fill="FFFFFF"/>
        </w:rPr>
        <w:t>北仑区卫生健康局</w:t>
      </w:r>
    </w:p>
    <w:p>
      <w:pPr>
        <w:pStyle w:val="5"/>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420"/>
        <w:jc w:val="left"/>
        <w:textAlignment w:val="auto"/>
        <w:rPr>
          <w:rFonts w:hint="eastAsia" w:ascii="仿宋_GB2312" w:hAnsi="仿宋_GB2312" w:eastAsia="仿宋_GB2312"/>
          <w:color w:val="000000"/>
          <w:sz w:val="32"/>
        </w:rPr>
      </w:pPr>
      <w:r>
        <w:rPr>
          <w:rFonts w:hint="eastAsia" w:ascii="仿宋" w:hAnsi="仿宋" w:eastAsia="仿宋"/>
          <w:color w:val="000000"/>
          <w:kern w:val="2"/>
          <w:sz w:val="32"/>
          <w:shd w:val="clear" w:color="auto" w:fill="FFFFFF"/>
          <w:lang w:val="en-US" w:eastAsia="zh-CN"/>
        </w:rPr>
        <w:t xml:space="preserve">                                </w:t>
      </w:r>
      <w:r>
        <w:rPr>
          <w:rFonts w:hint="eastAsia" w:ascii="仿宋" w:hAnsi="仿宋" w:eastAsia="仿宋"/>
          <w:color w:val="000000"/>
          <w:kern w:val="2"/>
          <w:sz w:val="32"/>
          <w:shd w:val="clear" w:color="auto" w:fill="FFFFFF"/>
        </w:rPr>
        <w:t>202</w:t>
      </w:r>
      <w:r>
        <w:rPr>
          <w:rFonts w:hint="eastAsia" w:ascii="仿宋" w:hAnsi="仿宋" w:eastAsia="仿宋"/>
          <w:color w:val="000000"/>
          <w:kern w:val="2"/>
          <w:sz w:val="32"/>
          <w:shd w:val="clear" w:color="auto" w:fill="FFFFFF"/>
          <w:lang w:val="en-US" w:eastAsia="zh-CN"/>
        </w:rPr>
        <w:t>5</w:t>
      </w:r>
      <w:r>
        <w:rPr>
          <w:rFonts w:hint="eastAsia" w:ascii="仿宋" w:hAnsi="仿宋" w:eastAsia="仿宋"/>
          <w:color w:val="000000"/>
          <w:kern w:val="2"/>
          <w:sz w:val="32"/>
          <w:shd w:val="clear" w:color="auto" w:fill="FFFFFF"/>
        </w:rPr>
        <w:t>年</w:t>
      </w:r>
      <w:r>
        <w:rPr>
          <w:rFonts w:hint="eastAsia" w:ascii="仿宋" w:hAnsi="仿宋" w:eastAsia="仿宋"/>
          <w:color w:val="000000"/>
          <w:kern w:val="2"/>
          <w:sz w:val="32"/>
          <w:shd w:val="clear" w:color="auto" w:fill="FFFFFF"/>
          <w:lang w:val="en-US" w:eastAsia="zh-CN"/>
        </w:rPr>
        <w:t>1</w:t>
      </w:r>
      <w:r>
        <w:rPr>
          <w:rFonts w:hint="eastAsia" w:ascii="仿宋" w:hAnsi="仿宋" w:eastAsia="仿宋"/>
          <w:color w:val="000000"/>
          <w:kern w:val="2"/>
          <w:sz w:val="32"/>
          <w:shd w:val="clear" w:color="auto" w:fill="FFFFFF"/>
        </w:rPr>
        <w:t>月</w:t>
      </w:r>
      <w:r>
        <w:rPr>
          <w:rFonts w:hint="eastAsia" w:ascii="仿宋" w:hAnsi="仿宋" w:eastAsia="仿宋"/>
          <w:color w:val="000000"/>
          <w:kern w:val="2"/>
          <w:sz w:val="32"/>
          <w:shd w:val="clear" w:color="auto" w:fill="FFFFFF"/>
          <w:lang w:val="en-US" w:eastAsia="zh-CN"/>
        </w:rPr>
        <w:t>2</w:t>
      </w:r>
      <w:r>
        <w:rPr>
          <w:rFonts w:hint="eastAsia" w:ascii="仿宋" w:hAnsi="仿宋" w:eastAsia="仿宋"/>
          <w:color w:val="000000"/>
          <w:kern w:val="2"/>
          <w:sz w:val="32"/>
          <w:shd w:val="clear" w:color="auto" w:fill="FFFFFF"/>
        </w:rPr>
        <w:t>日</w:t>
      </w:r>
    </w:p>
    <w:p/>
    <w:sectPr>
      <w:footerReference r:id="rId3" w:type="default"/>
      <w:pgSz w:w="12240" w:h="15840"/>
      <w:pgMar w:top="1440" w:right="1800" w:bottom="1440" w:left="1800" w:header="720" w:footer="720" w:gutter="0"/>
      <w:lnNumType w:countBy="0" w:distance="36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M6pebnPAAAABQEAAA8AAAAAAAAAAQAg&#10;AAAAOAAAAGRycy9kb3ducmV2LnhtbFBLAQIUABQAAAAIAIdO4kAadoHJyAEAAJkDAAAOAAAAAAAA&#10;AAEAIAAAADQBAABkcnMvZTJvRG9jLnhtbFBLBQYAAAAABgAGAFkBAABuBQAAAAA=&#10;">
              <v:fill on="f" focussize="0,0"/>
              <v:stroke on="f"/>
              <v:imagedata o:title=""/>
              <o:lock v:ext="edit" aspectratio="f"/>
              <v:textbox inset="0mm,0mm,0mm,0mm" style="mso-fit-shape-to-text:t;">
                <w:txbxContent>
                  <w:p>
                    <w:pPr>
                      <w:pStyle w:val="4"/>
                      <w:rPr>
                        <w:rFonts w:hint="eastAsia"/>
                      </w:rPr>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706226"/>
    <w:rsid w:val="10706226"/>
    <w:rsid w:val="17FCBE16"/>
    <w:rsid w:val="27FE9BC2"/>
    <w:rsid w:val="2D6C9330"/>
    <w:rsid w:val="2DDFA454"/>
    <w:rsid w:val="3545DECF"/>
    <w:rsid w:val="3B3B0F20"/>
    <w:rsid w:val="3BBF483D"/>
    <w:rsid w:val="3BE440D5"/>
    <w:rsid w:val="3DB99594"/>
    <w:rsid w:val="3DDD4F82"/>
    <w:rsid w:val="3DDFED5E"/>
    <w:rsid w:val="3EDD0EDD"/>
    <w:rsid w:val="3FE5C842"/>
    <w:rsid w:val="3FEF1BAA"/>
    <w:rsid w:val="4F657094"/>
    <w:rsid w:val="50CD9618"/>
    <w:rsid w:val="5366EA6E"/>
    <w:rsid w:val="5BBE1214"/>
    <w:rsid w:val="5DFB81BD"/>
    <w:rsid w:val="5EFF5AD2"/>
    <w:rsid w:val="5F3300DB"/>
    <w:rsid w:val="5F779FAF"/>
    <w:rsid w:val="5FB381D5"/>
    <w:rsid w:val="5FBE6DA6"/>
    <w:rsid w:val="5FF5D066"/>
    <w:rsid w:val="67BF8F13"/>
    <w:rsid w:val="6EBB8897"/>
    <w:rsid w:val="6EF3E6C3"/>
    <w:rsid w:val="6EFB91FE"/>
    <w:rsid w:val="6F0F9311"/>
    <w:rsid w:val="6FFC1030"/>
    <w:rsid w:val="6FFFCA99"/>
    <w:rsid w:val="73BB190F"/>
    <w:rsid w:val="747B5214"/>
    <w:rsid w:val="775C7BCD"/>
    <w:rsid w:val="775E511A"/>
    <w:rsid w:val="777F5942"/>
    <w:rsid w:val="77BDB801"/>
    <w:rsid w:val="77BFEF6A"/>
    <w:rsid w:val="78BE2E13"/>
    <w:rsid w:val="7BBEC744"/>
    <w:rsid w:val="7D2F2B52"/>
    <w:rsid w:val="7DDDED1B"/>
    <w:rsid w:val="7DDFE0E2"/>
    <w:rsid w:val="7DE73985"/>
    <w:rsid w:val="7DED5BFC"/>
    <w:rsid w:val="7DFFBEAB"/>
    <w:rsid w:val="7F547E1B"/>
    <w:rsid w:val="7F7D9FE9"/>
    <w:rsid w:val="7F9D09B0"/>
    <w:rsid w:val="7FB7E32C"/>
    <w:rsid w:val="7FBB0B0F"/>
    <w:rsid w:val="7FD56D39"/>
    <w:rsid w:val="7FDF527E"/>
    <w:rsid w:val="7FEF964C"/>
    <w:rsid w:val="7FF9EDF3"/>
    <w:rsid w:val="7FFF4180"/>
    <w:rsid w:val="817F6C01"/>
    <w:rsid w:val="8F9200C5"/>
    <w:rsid w:val="9F6D4337"/>
    <w:rsid w:val="9FFFCA53"/>
    <w:rsid w:val="AD3EEC49"/>
    <w:rsid w:val="B6DBEB9B"/>
    <w:rsid w:val="B77F87C2"/>
    <w:rsid w:val="BEFFDB06"/>
    <w:rsid w:val="BF5B9B51"/>
    <w:rsid w:val="BF9D7B43"/>
    <w:rsid w:val="BFCFCC25"/>
    <w:rsid w:val="C3F2F64B"/>
    <w:rsid w:val="CCCD2123"/>
    <w:rsid w:val="D7EA3130"/>
    <w:rsid w:val="D7FFF2A2"/>
    <w:rsid w:val="DF3FC99E"/>
    <w:rsid w:val="DFAC2A4D"/>
    <w:rsid w:val="DFEF5A8C"/>
    <w:rsid w:val="DFFF730F"/>
    <w:rsid w:val="E0F790FC"/>
    <w:rsid w:val="ED77ED42"/>
    <w:rsid w:val="EDFD34A1"/>
    <w:rsid w:val="F3EFB073"/>
    <w:rsid w:val="F5CDE3E4"/>
    <w:rsid w:val="F672B1CA"/>
    <w:rsid w:val="F7D9AFB7"/>
    <w:rsid w:val="F9BE2BC6"/>
    <w:rsid w:val="FA597A5B"/>
    <w:rsid w:val="FA7D5A32"/>
    <w:rsid w:val="FAFD7153"/>
    <w:rsid w:val="FAFFD70D"/>
    <w:rsid w:val="FB638BDE"/>
    <w:rsid w:val="FBAE103F"/>
    <w:rsid w:val="FD1D460E"/>
    <w:rsid w:val="FDD78656"/>
    <w:rsid w:val="FDF6C7F5"/>
    <w:rsid w:val="FEBB2D36"/>
    <w:rsid w:val="FEBD3610"/>
    <w:rsid w:val="FEDE7430"/>
    <w:rsid w:val="FEDEE33B"/>
    <w:rsid w:val="FF3F4806"/>
    <w:rsid w:val="FFD6231D"/>
    <w:rsid w:val="FFDBA6D3"/>
    <w:rsid w:val="FFEF8968"/>
    <w:rsid w:val="FFF74122"/>
    <w:rsid w:val="FFFF780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pPr>
    <w:rPr>
      <w:rFonts w:ascii="Times New Roman" w:hAnsi="Times New Roman" w:eastAsia="宋体" w:cs="Times New Roman"/>
      <w:kern w:val="2"/>
      <w:sz w:val="21"/>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after="0" w:line="300" w:lineRule="auto"/>
      <w:ind w:left="0" w:leftChars="0"/>
    </w:pPr>
    <w:rPr>
      <w:rFonts w:hint="default" w:ascii="Calibri" w:hAnsi="Calibri"/>
      <w:i/>
      <w:sz w:val="21"/>
    </w:rPr>
  </w:style>
  <w:style w:type="paragraph" w:styleId="3">
    <w:name w:val="Body Text Indent"/>
    <w:basedOn w:val="1"/>
    <w:unhideWhenUsed/>
    <w:qFormat/>
    <w:uiPriority w:val="99"/>
    <w:pPr>
      <w:spacing w:after="120"/>
      <w:ind w:left="420" w:leftChars="200"/>
    </w:pPr>
    <w:rPr>
      <w:rFonts w:hint="default"/>
      <w:sz w:val="21"/>
    </w:rPr>
  </w:style>
  <w:style w:type="paragraph" w:styleId="4">
    <w:name w:val="footer"/>
    <w:basedOn w:val="1"/>
    <w:unhideWhenUsed/>
    <w:qFormat/>
    <w:uiPriority w:val="99"/>
    <w:pPr>
      <w:tabs>
        <w:tab w:val="center" w:pos="4153"/>
        <w:tab w:val="right" w:pos="8306"/>
      </w:tabs>
      <w:snapToGrid w:val="0"/>
      <w:jc w:val="left"/>
    </w:pPr>
    <w:rPr>
      <w:rFonts w:hint="default"/>
      <w:sz w:val="18"/>
    </w:rPr>
  </w:style>
  <w:style w:type="paragraph" w:styleId="5">
    <w:name w:val="Normal (Web)"/>
    <w:basedOn w:val="1"/>
    <w:unhideWhenUsed/>
    <w:qFormat/>
    <w:uiPriority w:val="99"/>
    <w:pPr>
      <w:spacing w:before="100" w:beforeAutospacing="1" w:after="100" w:afterAutospacing="1"/>
      <w:jc w:val="left"/>
    </w:pPr>
    <w:rPr>
      <w:rFonts w:hint="default"/>
      <w:kern w:val="0"/>
      <w:sz w:val="24"/>
      <w:lang w:val="en-US" w:eastAsia="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0</Words>
  <Characters>0</Characters>
  <Lines>0</Lines>
  <Paragraphs>0</Paragraphs>
  <TotalTime>0</TotalTime>
  <ScaleCrop>false</ScaleCrop>
  <LinksUpToDate>false</LinksUpToDate>
  <CharactersWithSpaces>0</CharactersWithSpaces>
  <Application>WPS Office_11.8.2.1132_F1E327BC-269C-435d-A152-05C5408002CA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2023-01-01T14:36:00Z</dcterms:created>
  <dc:creator>Administrator</dc:creator>
  <cp:lastModifiedBy>guest</cp:lastModifiedBy>
  <dcterms:modified xsi:type="dcterms:W3CDTF">2024-12-27T09:39:43Z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2052-11.8.2.1132</vt:lpwstr>
  </property>
  <property fmtid="{D5CDD505-2E9C-101B-9397-08002B2CF9AE}" pid="3" name="ICV">
    <vt:lpwstr>539D1413FA795C2249FC6D67858F7795</vt:lpwstr>
  </property>
</Properties>
</file>