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44"/>
          <w:szCs w:val="44"/>
        </w:rPr>
      </w:pPr>
      <w:r>
        <w:rPr>
          <w:rFonts w:hint="eastAsia" w:ascii="方正小标宋简体" w:hAnsi="方正小标宋简体" w:eastAsia="方正小标宋简体" w:cs="方正小标宋简体"/>
          <w:b w:val="0"/>
          <w:bCs/>
          <w:snapToGrid w:val="0"/>
          <w:color w:val="000000"/>
          <w:spacing w:val="-11"/>
          <w:sz w:val="44"/>
          <w:szCs w:val="44"/>
          <w:lang w:eastAsia="zh-CN"/>
        </w:rPr>
        <w:t>北仑区教育局</w:t>
      </w:r>
      <w:r>
        <w:rPr>
          <w:rFonts w:hint="eastAsia" w:ascii="方正小标宋简体" w:hAnsi="方正小标宋简体" w:eastAsia="方正小标宋简体" w:cs="方正小标宋简体"/>
          <w:b w:val="0"/>
          <w:bCs/>
          <w:snapToGrid w:val="0"/>
          <w:color w:val="000000"/>
          <w:spacing w:val="-11"/>
          <w:sz w:val="44"/>
          <w:szCs w:val="44"/>
        </w:rPr>
        <w:t>202</w:t>
      </w:r>
      <w:r>
        <w:rPr>
          <w:rFonts w:hint="eastAsia" w:ascii="方正小标宋简体" w:hAnsi="方正小标宋简体" w:eastAsia="方正小标宋简体" w:cs="方正小标宋简体"/>
          <w:b w:val="0"/>
          <w:bCs/>
          <w:snapToGrid w:val="0"/>
          <w:color w:val="000000"/>
          <w:spacing w:val="-11"/>
          <w:sz w:val="44"/>
          <w:szCs w:val="44"/>
          <w:lang w:val="en-US" w:eastAsia="zh-CN"/>
        </w:rPr>
        <w:t>4</w:t>
      </w:r>
      <w:r>
        <w:rPr>
          <w:rFonts w:hint="eastAsia" w:ascii="方正小标宋简体" w:hAnsi="方正小标宋简体" w:eastAsia="方正小标宋简体" w:cs="方正小标宋简体"/>
          <w:b w:val="0"/>
          <w:bCs/>
          <w:snapToGrid w:val="0"/>
          <w:color w:val="000000"/>
          <w:spacing w:val="-11"/>
          <w:sz w:val="44"/>
          <w:szCs w:val="44"/>
        </w:rPr>
        <w:t>年度政府信息公开</w:t>
      </w:r>
    </w:p>
    <w:p>
      <w:pPr>
        <w:pStyle w:val="3"/>
        <w:keepNext w:val="0"/>
        <w:keepLines w:val="0"/>
        <w:pageBreakBefore w:val="0"/>
        <w:widowControl/>
        <w:kinsoku/>
        <w:wordWrap/>
        <w:overflowPunct/>
        <w:topLinePunct w:val="0"/>
        <w:autoSpaceDE/>
        <w:autoSpaceDN/>
        <w:bidi w:val="0"/>
        <w:adjustRightInd/>
        <w:snapToGrid/>
        <w:spacing w:before="0" w:beforeLines="0" w:beforeAutospacing="0" w:after="313" w:afterLines="100" w:afterAutospacing="0" w:line="600" w:lineRule="exact"/>
        <w:jc w:val="center"/>
        <w:textAlignment w:val="auto"/>
        <w:rPr>
          <w:rFonts w:hint="eastAsia" w:ascii="仿宋" w:hAnsi="仿宋" w:eastAsia="仿宋" w:cs="仿宋"/>
          <w:sz w:val="44"/>
          <w:szCs w:val="44"/>
        </w:rPr>
      </w:pPr>
      <w:r>
        <w:rPr>
          <w:rFonts w:hint="eastAsia" w:ascii="方正小标宋简体" w:hAnsi="方正小标宋简体" w:eastAsia="方正小标宋简体" w:cs="方正小标宋简体"/>
          <w:b w:val="0"/>
          <w:bCs/>
          <w:snapToGrid w:val="0"/>
          <w:color w:val="000000"/>
          <w:spacing w:val="-11"/>
          <w:sz w:val="44"/>
          <w:szCs w:val="44"/>
        </w:rPr>
        <w:t>工作年度报告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Helvetica" w:eastAsia="楷体_GB2312" w:cs="Times New Roman"/>
          <w:color w:val="000000"/>
          <w:sz w:val="32"/>
          <w:szCs w:val="32"/>
          <w:highlight w:val="none"/>
          <w:shd w:val="clear" w:color="auto" w:fill="FFFFFF"/>
        </w:rPr>
      </w:pPr>
      <w:r>
        <w:rPr>
          <w:rFonts w:hint="eastAsia" w:ascii="楷体_GB2312" w:hAnsi="Helvetica" w:eastAsia="楷体_GB2312" w:cs="Times New Roman"/>
          <w:color w:val="000000"/>
          <w:sz w:val="32"/>
          <w:szCs w:val="32"/>
          <w:shd w:val="clear" w:color="auto" w:fill="FFFFFF"/>
        </w:rPr>
        <w:t>本报告是根据《中华人民共和国政府信息公开条例》（国务院令第711号）</w:t>
      </w:r>
      <w:r>
        <w:rPr>
          <w:rFonts w:hint="eastAsia" w:ascii="楷体_GB2312" w:hAnsi="Helvetica" w:eastAsia="楷体_GB2312" w:cs="Times New Roman"/>
          <w:color w:val="000000"/>
          <w:sz w:val="32"/>
          <w:szCs w:val="32"/>
          <w:highlight w:val="none"/>
          <w:shd w:val="clear" w:color="auto" w:fill="FFFFFF"/>
        </w:rPr>
        <w:t>文件要求编制。全文包含总体情况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主动公开政府信息情况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收到和处理政府信息公开申请情况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因政府信息公开工作被申请行政复议、提起行政诉讼情况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存在的主要问题及改进情况</w:t>
      </w:r>
      <w:r>
        <w:rPr>
          <w:rFonts w:hint="eastAsia" w:ascii="楷体_GB2312" w:hAnsi="Helvetica" w:eastAsia="楷体_GB2312" w:cs="Times New Roman"/>
          <w:color w:val="000000"/>
          <w:sz w:val="32"/>
          <w:szCs w:val="32"/>
          <w:highlight w:val="none"/>
          <w:shd w:val="clear" w:color="auto" w:fill="FFFFFF"/>
          <w:lang w:eastAsia="zh-CN"/>
        </w:rPr>
        <w:t>，</w:t>
      </w:r>
      <w:r>
        <w:rPr>
          <w:rFonts w:hint="eastAsia" w:ascii="楷体_GB2312" w:hAnsi="Helvetica" w:eastAsia="楷体_GB2312" w:cs="Times New Roman"/>
          <w:color w:val="000000"/>
          <w:sz w:val="32"/>
          <w:szCs w:val="32"/>
          <w:highlight w:val="none"/>
          <w:shd w:val="clear" w:color="auto" w:fill="FFFFFF"/>
        </w:rPr>
        <w:t>其他需要报告的事项六个方面。本报告所列数据的统计期限自202</w:t>
      </w:r>
      <w:r>
        <w:rPr>
          <w:rFonts w:hint="eastAsia" w:ascii="楷体_GB2312" w:hAnsi="Helvetica" w:eastAsia="楷体_GB2312" w:cs="Times New Roman"/>
          <w:color w:val="000000"/>
          <w:sz w:val="32"/>
          <w:szCs w:val="32"/>
          <w:highlight w:val="none"/>
          <w:shd w:val="clear" w:color="auto" w:fill="FFFFFF"/>
          <w:lang w:val="en-US" w:eastAsia="zh-CN"/>
        </w:rPr>
        <w:t>4</w:t>
      </w:r>
      <w:r>
        <w:rPr>
          <w:rFonts w:hint="eastAsia" w:ascii="楷体_GB2312" w:hAnsi="Helvetica" w:eastAsia="楷体_GB2312" w:cs="Times New Roman"/>
          <w:color w:val="000000"/>
          <w:sz w:val="32"/>
          <w:szCs w:val="32"/>
          <w:highlight w:val="none"/>
          <w:shd w:val="clear" w:color="auto" w:fill="FFFFFF"/>
        </w:rPr>
        <w:t>年1月1日起至12月31日止。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highlight w:val="none"/>
          <w:lang w:val="en-US" w:eastAsia="zh-CN" w:bidi="ar-SA"/>
        </w:rPr>
      </w:pPr>
      <w:r>
        <w:rPr>
          <w:rFonts w:hint="eastAsia" w:ascii="黑体" w:hAnsi="黑体" w:eastAsia="黑体" w:cs="黑体"/>
          <w:b w:val="0"/>
          <w:bCs/>
          <w:color w:val="000000"/>
          <w:kern w:val="0"/>
          <w:sz w:val="32"/>
          <w:szCs w:val="32"/>
          <w:highlight w:val="none"/>
          <w:lang w:val="en-US" w:eastAsia="zh-CN" w:bidi="ar-SA"/>
        </w:rPr>
        <w:t>一、总体情况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FF"/>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kern w:val="0"/>
          <w:sz w:val="32"/>
          <w:szCs w:val="32"/>
          <w:highlight w:val="none"/>
          <w:shd w:val="clear" w:color="auto" w:fill="FFFFFF"/>
          <w:lang w:val="en-US" w:eastAsia="zh-CN" w:bidi="ar"/>
        </w:rPr>
        <w:t>（一）主动公开。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2024年，北仑区教育局进一步加强重点公开领域的维护，按规定程序公开政策文件、教育概况、财务信息、招生管理、教师管理等信息，主要做好教育政策解读，群众关注度高的政策采取北仑之窗文件原文公开+专家问答式解读+视频模拟操作的方式让老百姓看得懂、愿意看。</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（二）依申请公开。</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进一步规范化做好依申请公开件的登记、审核、办理、答复、归档等流程，及时更新指南，畅通申请渠道，及时办理收到的依申请公开事项，做到不推诿、不拖延、不逾期。2024年我局收到依申请公开政府信息1件，申请途径为网络平台申请。</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highlight w:val="none"/>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（三）政府信息管理。</w:t>
      </w:r>
      <w:r>
        <w:rPr>
          <w:rFonts w:hint="eastAsia" w:ascii="仿宋" w:hAnsi="仿宋" w:eastAsia="仿宋" w:cs="仿宋"/>
          <w:sz w:val="32"/>
          <w:szCs w:val="32"/>
          <w:highlight w:val="none"/>
        </w:rPr>
        <w:t>我局完善信息发布流程，加强教育政务信息公开属性源头管理，在信息生成的同时明确公开属性，确保公开属性标注得当，并按程序要求起草人做好初审，</w:t>
      </w:r>
      <w:r>
        <w:rPr>
          <w:rFonts w:hint="eastAsia" w:ascii="仿宋" w:hAnsi="仿宋" w:eastAsia="仿宋" w:cs="仿宋"/>
          <w:sz w:val="32"/>
          <w:szCs w:val="32"/>
          <w:highlight w:val="none"/>
          <w:lang w:eastAsia="zh-CN"/>
        </w:rPr>
        <w:t>相关科室负责人</w:t>
      </w:r>
      <w:r>
        <w:rPr>
          <w:rFonts w:hint="eastAsia" w:ascii="仿宋" w:hAnsi="仿宋" w:eastAsia="仿宋" w:cs="仿宋"/>
          <w:sz w:val="32"/>
          <w:szCs w:val="32"/>
          <w:highlight w:val="none"/>
        </w:rPr>
        <w:t>做好二审，分管领导做好三审</w:t>
      </w:r>
      <w:r>
        <w:rPr>
          <w:rFonts w:hint="eastAsia" w:ascii="仿宋" w:hAnsi="仿宋" w:eastAsia="仿宋" w:cs="仿宋"/>
          <w:sz w:val="32"/>
          <w:szCs w:val="32"/>
          <w:highlight w:val="none"/>
          <w:lang w:eastAsia="zh-CN"/>
        </w:rPr>
        <w:t>，</w:t>
      </w:r>
      <w:r>
        <w:rPr>
          <w:rFonts w:hint="eastAsia" w:ascii="仿宋" w:hAnsi="仿宋" w:eastAsia="仿宋" w:cs="仿宋"/>
          <w:sz w:val="32"/>
          <w:szCs w:val="32"/>
          <w:lang w:eastAsia="zh-CN"/>
        </w:rPr>
        <w:t>严格执行“三审三校”流程，</w:t>
      </w:r>
      <w:r>
        <w:rPr>
          <w:rFonts w:hint="eastAsia" w:ascii="仿宋" w:hAnsi="仿宋" w:eastAsia="仿宋" w:cs="仿宋"/>
          <w:sz w:val="32"/>
          <w:szCs w:val="32"/>
        </w:rPr>
        <w:t>切实把好</w:t>
      </w:r>
      <w:r>
        <w:rPr>
          <w:rFonts w:hint="eastAsia" w:ascii="仿宋" w:hAnsi="仿宋" w:eastAsia="仿宋" w:cs="仿宋"/>
          <w:sz w:val="32"/>
          <w:szCs w:val="32"/>
          <w:lang w:eastAsia="zh-CN"/>
        </w:rPr>
        <w:t>推送信息的</w:t>
      </w:r>
      <w:r>
        <w:rPr>
          <w:rFonts w:hint="eastAsia" w:ascii="仿宋" w:hAnsi="仿宋" w:eastAsia="仿宋" w:cs="仿宋"/>
          <w:sz w:val="32"/>
          <w:szCs w:val="32"/>
        </w:rPr>
        <w:t>政治关、政策关和文字关。</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i w:val="0"/>
          <w:caps w:val="0"/>
          <w:color w:val="000000"/>
          <w:spacing w:val="0"/>
          <w:sz w:val="32"/>
          <w:szCs w:val="32"/>
          <w:highlight w:val="none"/>
          <w:shd w:val="clear" w:color="auto" w:fill="FFFFFF"/>
          <w:lang w:val="en-US" w:eastAsia="zh-CN"/>
        </w:rPr>
      </w:pPr>
      <w:r>
        <w:rPr>
          <w:rFonts w:hint="eastAsia" w:ascii="楷体_GB2312" w:hAnsi="楷体_GB2312" w:eastAsia="楷体_GB2312" w:cs="楷体_GB2312"/>
          <w:i w:val="0"/>
          <w:caps w:val="0"/>
          <w:color w:val="000000"/>
          <w:spacing w:val="0"/>
          <w:sz w:val="32"/>
          <w:szCs w:val="32"/>
          <w:highlight w:val="none"/>
          <w:shd w:val="clear" w:color="auto" w:fill="FFFFFF"/>
          <w:lang w:val="en-US" w:eastAsia="zh-CN"/>
        </w:rPr>
        <w:t>（四）政府信息公开平台建设。</w:t>
      </w:r>
      <w:r>
        <w:rPr>
          <w:rFonts w:hint="eastAsia" w:ascii="仿宋" w:hAnsi="仿宋" w:eastAsia="仿宋" w:cs="仿宋"/>
          <w:i w:val="0"/>
          <w:kern w:val="2"/>
          <w:sz w:val="32"/>
          <w:szCs w:val="32"/>
          <w:highlight w:val="none"/>
          <w:lang w:val="en-US" w:eastAsia="zh-CN" w:bidi="ar-SA"/>
        </w:rPr>
        <w:t>线上，组建以“北仑教育”政务新媒体和“北仑之窗重点公开领域教育板块”双核心，细化公开栏目，根据学段将教育政策分类公开，为公众提供精准“服务菜单”；线下，在中小学、幼儿园设置现场教育政策公开咨询服务点，提升家长获取教育信息的便捷度和满意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i w:val="0"/>
          <w:kern w:val="2"/>
          <w:sz w:val="32"/>
          <w:szCs w:val="32"/>
          <w:highlight w:val="none"/>
          <w:lang w:val="en-US" w:eastAsia="zh-CN" w:bidi="ar-SA"/>
        </w:rPr>
      </w:pPr>
      <w:r>
        <w:rPr>
          <w:rFonts w:hint="eastAsia" w:ascii="楷体_GB2312" w:hAnsi="楷体_GB2312" w:eastAsia="楷体_GB2312" w:cs="楷体_GB2312"/>
          <w:i w:val="0"/>
          <w:caps w:val="0"/>
          <w:color w:val="000000"/>
          <w:spacing w:val="0"/>
          <w:kern w:val="2"/>
          <w:sz w:val="32"/>
          <w:szCs w:val="32"/>
          <w:highlight w:val="none"/>
          <w:shd w:val="clear" w:color="auto" w:fill="FFFFFF"/>
          <w:lang w:val="en-US" w:eastAsia="zh-CN" w:bidi="ar-SA"/>
        </w:rPr>
        <w:t>（五）监督保障。</w:t>
      </w:r>
      <w:r>
        <w:rPr>
          <w:rFonts w:hint="eastAsia" w:ascii="仿宋" w:hAnsi="仿宋" w:eastAsia="仿宋" w:cs="仿宋"/>
          <w:i w:val="0"/>
          <w:kern w:val="2"/>
          <w:sz w:val="32"/>
          <w:szCs w:val="32"/>
          <w:highlight w:val="none"/>
          <w:lang w:val="en-US" w:eastAsia="zh-CN" w:bidi="ar-SA"/>
        </w:rPr>
        <w:t>对于社会关注度高、涉及群众切身利益、需要社会广泛知晓的重大行政决策事项，通过北仑教育微信公众号等平台主动向社会公开征求意见，畅通公众表达意愿渠道，广泛听取各方意见。我局全年没有发生因政务公开工作被追究责任的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二、主动公开政府信息情况</w:t>
      </w:r>
    </w:p>
    <w:tbl>
      <w:tblPr>
        <w:tblStyle w:val="5"/>
        <w:tblW w:w="9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行政</w:t>
            </w:r>
            <w:r>
              <w:rPr>
                <w:rFonts w:hint="eastAsia" w:ascii="仿宋_GB2312" w:hAnsi="仿宋_GB2312" w:eastAsia="仿宋_GB2312" w:cs="仿宋_GB2312"/>
                <w:color w:val="000000"/>
                <w:sz w:val="24"/>
                <w:szCs w:val="24"/>
                <w:highlight w:val="none"/>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2208" w:type="dxa"/>
            <w:noWrap w:val="0"/>
            <w:vAlign w:val="center"/>
          </w:tcPr>
          <w:p>
            <w:pPr>
              <w:jc w:val="center"/>
              <w:rPr>
                <w:rFonts w:hint="default"/>
                <w:color w:val="000000"/>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lang w:eastAsia="zh-CN"/>
              </w:rPr>
              <w:t>本年</w:t>
            </w:r>
            <w:r>
              <w:rPr>
                <w:rFonts w:hint="eastAsia" w:ascii="黑体" w:hAnsi="黑体" w:eastAsia="黑体" w:cs="黑体"/>
                <w:b w:val="0"/>
                <w:bCs w:val="0"/>
                <w:color w:val="000000"/>
                <w:sz w:val="24"/>
                <w:szCs w:val="24"/>
                <w:highlight w:val="none"/>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rPr>
            </w:pPr>
            <w:r>
              <w:rPr>
                <w:rFonts w:hint="eastAsia" w:ascii="黑体" w:hAnsi="黑体" w:eastAsia="黑体" w:cs="黑体"/>
                <w:b w:val="0"/>
                <w:bCs w:val="0"/>
                <w:color w:val="000000"/>
                <w:sz w:val="24"/>
                <w:szCs w:val="24"/>
                <w:highlight w:val="none"/>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color w:val="000000"/>
                <w:sz w:val="24"/>
                <w:szCs w:val="24"/>
                <w:highlight w:val="none"/>
                <w:lang w:eastAsia="zh-CN"/>
              </w:rPr>
            </w:pPr>
            <w:r>
              <w:rPr>
                <w:rFonts w:hint="eastAsia" w:ascii="黑体" w:hAnsi="黑体" w:eastAsia="黑体" w:cs="黑体"/>
                <w:b w:val="0"/>
                <w:bCs w:val="0"/>
                <w:color w:val="000000"/>
                <w:sz w:val="24"/>
                <w:szCs w:val="24"/>
                <w:highlight w:val="none"/>
              </w:rPr>
              <w:t>本年</w:t>
            </w:r>
            <w:r>
              <w:rPr>
                <w:rFonts w:hint="eastAsia" w:ascii="黑体" w:hAnsi="黑体" w:eastAsia="黑体" w:cs="黑体"/>
                <w:b w:val="0"/>
                <w:bCs w:val="0"/>
                <w:color w:val="000000"/>
                <w:sz w:val="24"/>
                <w:szCs w:val="24"/>
                <w:highlight w:val="none"/>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106.9</w:t>
            </w:r>
          </w:p>
        </w:tc>
      </w:tr>
    </w:tbl>
    <w:p>
      <w:pPr>
        <w:pStyle w:val="3"/>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黑体"/>
                <w:color w:val="000000"/>
                <w:sz w:val="24"/>
                <w:szCs w:val="24"/>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szCs w:val="24"/>
                <w:highlight w:val="none"/>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sz w:val="24"/>
                <w:szCs w:val="24"/>
                <w:highlight w:val="none"/>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（二）部分公开（区分处理的，只计这一情形，不计其他情形）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293"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sz w:val="24"/>
                <w:szCs w:val="24"/>
                <w:highlight w:val="none"/>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1</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3"/>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政府信息公开行政复议、行政诉讼情况</w:t>
      </w:r>
    </w:p>
    <w:tbl>
      <w:tblPr>
        <w:tblStyle w:val="5"/>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黑体" w:hAnsi="黑体" w:eastAsia="黑体" w:cs="黑体"/>
                <w:color w:val="000000"/>
                <w:sz w:val="24"/>
                <w:szCs w:val="24"/>
                <w:highlight w:val="none"/>
              </w:rPr>
            </w:pPr>
            <w:r>
              <w:rPr>
                <w:rFonts w:hint="eastAsia" w:ascii="黑体" w:hAnsi="黑体" w:eastAsia="黑体" w:cs="黑体"/>
                <w:color w:val="000000"/>
                <w:kern w:val="0"/>
                <w:sz w:val="24"/>
                <w:szCs w:val="24"/>
                <w:highlight w:val="none"/>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结果</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其他</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尚未</w:t>
            </w:r>
            <w:r>
              <w:rPr>
                <w:rFonts w:hint="eastAsia" w:ascii="仿宋_GB2312" w:hAnsi="仿宋_GB2312" w:eastAsia="仿宋_GB2312" w:cs="仿宋_GB2312"/>
                <w:color w:val="000000"/>
                <w:kern w:val="0"/>
                <w:sz w:val="24"/>
                <w:szCs w:val="24"/>
                <w:highlight w:val="none"/>
                <w:lang w:val="en-US" w:eastAsia="zh-CN" w:bidi="ar"/>
              </w:rPr>
              <w:br w:type="textWrapping"/>
            </w:r>
            <w:r>
              <w:rPr>
                <w:rFonts w:hint="eastAsia" w:ascii="仿宋_GB2312" w:hAnsi="仿宋_GB2312" w:eastAsia="仿宋_GB2312" w:cs="仿宋_GB2312"/>
                <w:color w:val="000000"/>
                <w:kern w:val="0"/>
                <w:sz w:val="24"/>
                <w:szCs w:val="24"/>
                <w:highlight w:val="none"/>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2"/>
                <w:sz w:val="24"/>
                <w:szCs w:val="24"/>
                <w:highlight w:val="none"/>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ascii="仿宋_GB2312" w:hAnsi="仿宋_GB2312" w:eastAsia="仿宋_GB2312" w:cs="仿宋_GB2312"/>
                <w:color w:val="000000"/>
                <w:sz w:val="24"/>
                <w:szCs w:val="24"/>
                <w:highlight w:val="none"/>
                <w:lang w:val="en-US"/>
              </w:rPr>
            </w:pPr>
            <w:r>
              <w:rPr>
                <w:rFonts w:hint="eastAsia" w:ascii="仿宋_GB2312" w:hAnsi="仿宋_GB2312" w:eastAsia="仿宋_GB2312" w:cs="仿宋_GB2312"/>
                <w:color w:val="000000"/>
                <w:kern w:val="2"/>
                <w:sz w:val="24"/>
                <w:szCs w:val="24"/>
                <w:highlight w:val="none"/>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highlight w:val="none"/>
        </w:rPr>
      </w:pPr>
      <w:r>
        <w:rPr>
          <w:rFonts w:hint="eastAsia" w:ascii="黑体" w:hAnsi="黑体" w:eastAsia="黑体" w:cs="黑体"/>
          <w:b w:val="0"/>
          <w:bCs/>
          <w:color w:val="000000"/>
          <w:sz w:val="32"/>
          <w:szCs w:val="32"/>
          <w:highlight w:val="none"/>
        </w:rPr>
        <w:t>五、存在的主要问题及改进情况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我局按照《中华人民共和国政府信息公开条例》和市、区的统一部署，认真开展政府信息公开工作，不断调整政府信息公开的栏目设置、公开流程和公开范围等等，整体运行情况良好，但还存在着一些问题，如：随着新媒体的不断发展，社会公众对政府信息公开方式和内容表达形式都提出了新要求，目前北仑教育主要以“北仑教育”微信公众号和北仑之窗网站为主要公开渠道，下一步将立足群众需求，进一步拓展信息公开渠道，方便群众查阅，提升我局网上履职能力和服务水平。</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六、其他需要报告的事项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根据《政府信息公开信息处理费管理办法》有关规定，本机关全年没有收到超出一定数量或者频次范围的政府信息公开申请，也未对申请人收取信息处理费。特此说明。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宁波市北仑区教育局</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w:t>
      </w:r>
      <w:bookmarkStart w:id="0" w:name="_GoBack"/>
      <w:bookmarkEnd w:id="0"/>
      <w:r>
        <w:rPr>
          <w:rFonts w:hint="eastAsia" w:ascii="仿宋" w:hAnsi="仿宋" w:eastAsia="仿宋" w:cs="仿宋"/>
          <w:sz w:val="32"/>
          <w:szCs w:val="32"/>
          <w:lang w:val="en-US" w:eastAsia="zh-CN"/>
        </w:rPr>
        <w:t>年1月6日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Helvetica">
    <w:altName w:val="DejaVu Sans"/>
    <w:panose1 w:val="020B0604020202020204"/>
    <w:charset w:val="00"/>
    <w:family w:val="swiss"/>
    <w:pitch w:val="default"/>
    <w:sig w:usb0="00000000"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A6B9D2"/>
    <w:multiLevelType w:val="singleLevel"/>
    <w:tmpl w:val="D9A6B9D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E7428"/>
    <w:rsid w:val="01BD2A4C"/>
    <w:rsid w:val="07C01194"/>
    <w:rsid w:val="0BC427F0"/>
    <w:rsid w:val="0CBE7428"/>
    <w:rsid w:val="1B6F3FCE"/>
    <w:rsid w:val="390822EE"/>
    <w:rsid w:val="396446DD"/>
    <w:rsid w:val="3FBE3067"/>
    <w:rsid w:val="46D13396"/>
    <w:rsid w:val="49C43CB4"/>
    <w:rsid w:val="4C852A0D"/>
    <w:rsid w:val="4F8BB9C6"/>
    <w:rsid w:val="50C64497"/>
    <w:rsid w:val="60A1329B"/>
    <w:rsid w:val="650216D1"/>
    <w:rsid w:val="74671E7E"/>
    <w:rsid w:val="DDCE5038"/>
    <w:rsid w:val="FFFA8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rPr>
      <w:rFonts w:hint="default"/>
      <w:sz w:val="21"/>
    </w:rPr>
  </w:style>
  <w:style w:type="paragraph" w:styleId="3">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 w:type="paragraph" w:styleId="4">
    <w:name w:val="Body Text First Indent 2"/>
    <w:basedOn w:val="2"/>
    <w:unhideWhenUsed/>
    <w:qFormat/>
    <w:uiPriority w:val="99"/>
    <w:pPr>
      <w:spacing w:after="0" w:line="300" w:lineRule="auto"/>
      <w:ind w:left="0" w:leftChars="0"/>
    </w:pPr>
    <w:rPr>
      <w:rFonts w:hint="default" w:ascii="Calibri" w:hAnsi="Calibri"/>
      <w:i/>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11</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2024-01-09T07:03:00Z</dcterms:created>
  <dc:creator>WPS_1575437053</dc:creator>
  <cp:lastModifiedBy>user</cp:lastModifiedBy>
  <cp:lastPrinted>2024-01-13T06:12:00Z</cp:lastPrinted>
  <dcterms:modified xsi:type="dcterms:W3CDTF">2025-01-22T15:30:16Z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0B4B3950ACFCF1D4389890671EB022B7_43</vt:lpwstr>
  </property>
</Properties>
</file>