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center"/>
        <w:textAlignment w:val="auto"/>
        <w:rPr>
          <w:rFonts w:hint="eastAsia" w:ascii="方正小标宋简体" w:hAnsi="方正小标宋简体" w:eastAsia="方正小标宋简体" w:cs="方正小标宋简体"/>
          <w:b w:val="0"/>
          <w:bCs/>
          <w:snapToGrid w:val="0"/>
          <w:color w:val="000000"/>
          <w:spacing w:val="-11"/>
          <w:sz w:val="36"/>
        </w:rPr>
      </w:pPr>
      <w:r>
        <w:rPr>
          <w:rFonts w:hint="eastAsia" w:ascii="方正小标宋简体" w:hAnsi="方正小标宋简体" w:eastAsia="方正小标宋简体" w:cs="方正小标宋简体"/>
          <w:b w:val="0"/>
          <w:bCs/>
          <w:snapToGrid w:val="0"/>
          <w:color w:val="000000"/>
          <w:spacing w:val="-11"/>
          <w:sz w:val="36"/>
          <w:lang w:eastAsia="zh-CN"/>
        </w:rPr>
        <w:t>白峰街道</w:t>
      </w:r>
      <w:r>
        <w:rPr>
          <w:rFonts w:hint="eastAsia" w:ascii="方正小标宋简体" w:hAnsi="方正小标宋简体" w:eastAsia="方正小标宋简体" w:cs="方正小标宋简体"/>
          <w:b w:val="0"/>
          <w:bCs/>
          <w:snapToGrid w:val="0"/>
          <w:color w:val="000000"/>
          <w:spacing w:val="-11"/>
          <w:sz w:val="36"/>
        </w:rPr>
        <w:t>2020年度政府信息公开工作</w:t>
      </w:r>
      <w:r>
        <w:rPr>
          <w:rFonts w:hint="eastAsia" w:ascii="方正小标宋简体" w:hAnsi="方正小标宋简体" w:eastAsia="方正小标宋简体" w:cs="方正小标宋简体"/>
          <w:b w:val="0"/>
          <w:bCs/>
          <w:snapToGrid w:val="0"/>
          <w:color w:val="000000"/>
          <w:spacing w:val="-11"/>
          <w:sz w:val="36"/>
          <w:lang w:eastAsia="zh-CN"/>
        </w:rPr>
        <w:t>年度</w:t>
      </w:r>
      <w:bookmarkStart w:id="0" w:name="_GoBack"/>
      <w:bookmarkEnd w:id="0"/>
      <w:r>
        <w:rPr>
          <w:rFonts w:hint="eastAsia" w:ascii="方正小标宋简体" w:hAnsi="方正小标宋简体" w:eastAsia="方正小标宋简体" w:cs="方正小标宋简体"/>
          <w:b w:val="0"/>
          <w:bCs/>
          <w:snapToGrid w:val="0"/>
          <w:color w:val="000000"/>
          <w:spacing w:val="-11"/>
          <w:sz w:val="36"/>
        </w:rPr>
        <w:t>报告</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eastAsia="仿宋_GB2312"/>
          <w:sz w:val="32"/>
          <w:szCs w:val="32"/>
        </w:rPr>
      </w:pP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eastAsia="仿宋_GB2312"/>
          <w:sz w:val="32"/>
          <w:szCs w:val="32"/>
        </w:rPr>
      </w:pPr>
      <w:r>
        <w:rPr>
          <w:rFonts w:hint="eastAsia" w:ascii="仿宋_GB2312" w:eastAsia="仿宋_GB2312"/>
          <w:sz w:val="32"/>
          <w:szCs w:val="32"/>
        </w:rPr>
        <w:t>本报告根据《中华人民共和国政府信息公开条例》及省、市、区关于政府信息公开工作的有关规定,结合20</w:t>
      </w:r>
      <w:r>
        <w:rPr>
          <w:rFonts w:hint="eastAsia" w:ascii="仿宋_GB2312" w:eastAsia="仿宋_GB2312"/>
          <w:sz w:val="32"/>
          <w:szCs w:val="32"/>
          <w:lang w:val="en-US" w:eastAsia="zh-CN"/>
        </w:rPr>
        <w:t>20</w:t>
      </w:r>
      <w:r>
        <w:rPr>
          <w:rFonts w:hint="eastAsia" w:ascii="仿宋_GB2312" w:eastAsia="仿宋_GB2312"/>
          <w:sz w:val="32"/>
          <w:szCs w:val="32"/>
        </w:rPr>
        <w:t>年度宁波市北仑区（开发区）政府信息公开工作实际编制而成。本年报由</w:t>
      </w:r>
      <w:r>
        <w:rPr>
          <w:rFonts w:hint="eastAsia" w:ascii="仿宋_GB2312" w:eastAsia="仿宋_GB2312"/>
          <w:sz w:val="32"/>
          <w:szCs w:val="32"/>
          <w:lang w:eastAsia="zh-CN"/>
        </w:rPr>
        <w:t>总体</w:t>
      </w:r>
      <w:r>
        <w:rPr>
          <w:rFonts w:hint="eastAsia" w:ascii="仿宋_GB2312" w:eastAsia="仿宋_GB2312"/>
          <w:sz w:val="32"/>
          <w:szCs w:val="32"/>
        </w:rPr>
        <w:t>情况、主动公开政府信息情况、</w:t>
      </w:r>
      <w:r>
        <w:rPr>
          <w:rFonts w:hint="eastAsia" w:ascii="仿宋_GB2312" w:eastAsia="仿宋_GB2312"/>
          <w:sz w:val="32"/>
          <w:szCs w:val="32"/>
          <w:lang w:eastAsia="zh-CN"/>
        </w:rPr>
        <w:t>收到和处理政府信息</w:t>
      </w:r>
      <w:r>
        <w:rPr>
          <w:rFonts w:hint="eastAsia" w:ascii="仿宋_GB2312" w:eastAsia="仿宋_GB2312"/>
          <w:sz w:val="32"/>
          <w:szCs w:val="32"/>
        </w:rPr>
        <w:t>公开</w:t>
      </w:r>
      <w:r>
        <w:rPr>
          <w:rFonts w:hint="eastAsia" w:ascii="仿宋_GB2312" w:eastAsia="仿宋_GB2312"/>
          <w:sz w:val="32"/>
          <w:szCs w:val="32"/>
          <w:lang w:eastAsia="zh-CN"/>
        </w:rPr>
        <w:t>申请</w:t>
      </w:r>
      <w:r>
        <w:rPr>
          <w:rFonts w:hint="eastAsia" w:ascii="仿宋_GB2312" w:eastAsia="仿宋_GB2312"/>
          <w:sz w:val="32"/>
          <w:szCs w:val="32"/>
        </w:rPr>
        <w:t>情况、政府信息公开行政复议</w:t>
      </w:r>
      <w:r>
        <w:rPr>
          <w:rFonts w:hint="eastAsia" w:ascii="仿宋_GB2312" w:eastAsia="仿宋_GB2312"/>
          <w:sz w:val="32"/>
          <w:szCs w:val="32"/>
          <w:lang w:eastAsia="zh-CN"/>
        </w:rPr>
        <w:t>及</w:t>
      </w:r>
      <w:r>
        <w:rPr>
          <w:rFonts w:hint="eastAsia" w:ascii="仿宋_GB2312" w:eastAsia="仿宋_GB2312"/>
          <w:sz w:val="32"/>
          <w:szCs w:val="32"/>
        </w:rPr>
        <w:t>行政诉讼情况、政府信息公开工作存在的主要问题及改进</w:t>
      </w:r>
      <w:r>
        <w:rPr>
          <w:rFonts w:hint="eastAsia" w:ascii="仿宋_GB2312" w:eastAsia="仿宋_GB2312"/>
          <w:sz w:val="32"/>
          <w:szCs w:val="32"/>
          <w:lang w:eastAsia="zh-CN"/>
        </w:rPr>
        <w:t>情况、</w:t>
      </w:r>
      <w:r>
        <w:rPr>
          <w:rFonts w:hint="eastAsia" w:ascii="仿宋_GB2312" w:eastAsia="仿宋_GB2312"/>
          <w:sz w:val="32"/>
          <w:szCs w:val="32"/>
        </w:rPr>
        <w:t>其他需要报告的事项六部分组成。本年报所列数据的统计期限自20</w:t>
      </w:r>
      <w:r>
        <w:rPr>
          <w:rFonts w:hint="eastAsia" w:ascii="仿宋_GB2312" w:eastAsia="仿宋_GB2312"/>
          <w:sz w:val="32"/>
          <w:szCs w:val="32"/>
          <w:lang w:val="en-US" w:eastAsia="zh-CN"/>
        </w:rPr>
        <w:t>20</w:t>
      </w:r>
      <w:r>
        <w:rPr>
          <w:rFonts w:hint="eastAsia" w:ascii="仿宋_GB2312" w:eastAsia="仿宋_GB2312"/>
          <w:sz w:val="32"/>
          <w:szCs w:val="32"/>
        </w:rPr>
        <w:t>年1月1日起至20</w:t>
      </w:r>
      <w:r>
        <w:rPr>
          <w:rFonts w:hint="eastAsia" w:ascii="仿宋_GB2312" w:eastAsia="仿宋_GB2312"/>
          <w:sz w:val="32"/>
          <w:szCs w:val="32"/>
          <w:lang w:val="en-US" w:eastAsia="zh-CN"/>
        </w:rPr>
        <w:t>20</w:t>
      </w:r>
      <w:r>
        <w:rPr>
          <w:rFonts w:hint="eastAsia" w:ascii="仿宋_GB2312" w:eastAsia="仿宋_GB2312"/>
          <w:sz w:val="32"/>
          <w:szCs w:val="32"/>
        </w:rPr>
        <w:t>年12月31日止。</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一、总体情况</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白峰街道政府信息公开工作按照《中华人民共和国政府信息公开条例》、《国务院办公厅政府信息与政务公开办公室关于政府信息公开工作年度报告有关事项的通知》等文件精神，结合街道实际，及时、准确地向社会公开政府信息，保障公民的知情权、参与权与监督权，有效规范政府信息公开工作。</w:t>
      </w:r>
    </w:p>
    <w:p>
      <w:pPr>
        <w:spacing w:line="560" w:lineRule="exact"/>
        <w:ind w:firstLine="643" w:firstLineChars="200"/>
        <w:rPr>
          <w:rFonts w:hint="eastAsia" w:ascii="仿宋_GB2312" w:eastAsia="仿宋_GB2312"/>
          <w:kern w:val="2"/>
          <w:sz w:val="32"/>
          <w:szCs w:val="32"/>
          <w:lang w:eastAsia="zh-CN"/>
        </w:rPr>
      </w:pPr>
      <w:r>
        <w:rPr>
          <w:rFonts w:hint="eastAsia" w:ascii="仿宋_GB2312" w:hAnsi="Times New Roman" w:eastAsia="仿宋_GB2312" w:cs="Times New Roman"/>
          <w:b/>
          <w:bCs/>
          <w:kern w:val="2"/>
          <w:sz w:val="32"/>
          <w:szCs w:val="32"/>
          <w:lang w:val="en-US" w:eastAsia="zh-CN"/>
        </w:rPr>
        <w:t>一是强化组织建设</w:t>
      </w:r>
      <w:r>
        <w:rPr>
          <w:rFonts w:hint="eastAsia" w:ascii="仿宋_GB2312" w:eastAsia="仿宋_GB2312" w:cs="Times New Roman"/>
          <w:b/>
          <w:bCs/>
          <w:kern w:val="2"/>
          <w:sz w:val="32"/>
          <w:szCs w:val="32"/>
          <w:lang w:val="en-US" w:eastAsia="zh-CN"/>
        </w:rPr>
        <w:t>，</w:t>
      </w:r>
      <w:r>
        <w:rPr>
          <w:rFonts w:hint="eastAsia" w:ascii="仿宋_GB2312" w:eastAsia="仿宋_GB2312"/>
          <w:b/>
          <w:bCs/>
          <w:kern w:val="2"/>
          <w:sz w:val="32"/>
          <w:szCs w:val="32"/>
          <w:lang w:eastAsia="zh-CN"/>
        </w:rPr>
        <w:t>协力</w:t>
      </w:r>
      <w:r>
        <w:rPr>
          <w:rFonts w:hint="eastAsia" w:ascii="仿宋_GB2312" w:eastAsia="仿宋_GB2312"/>
          <w:b/>
          <w:bCs/>
          <w:kern w:val="2"/>
          <w:sz w:val="32"/>
          <w:szCs w:val="32"/>
        </w:rPr>
        <w:t>推进信息公开。</w:t>
      </w:r>
      <w:r>
        <w:rPr>
          <w:rFonts w:hint="eastAsia" w:ascii="仿宋_GB2312" w:eastAsia="仿宋_GB2312"/>
          <w:kern w:val="2"/>
          <w:sz w:val="32"/>
          <w:szCs w:val="32"/>
          <w:lang w:eastAsia="zh-CN"/>
        </w:rPr>
        <w:t>根据人事变动和工作需要，及时调整街道信息公开工作领导小组。健全责任体系，由</w:t>
      </w:r>
      <w:r>
        <w:rPr>
          <w:rFonts w:hint="eastAsia" w:ascii="仿宋_GB2312" w:eastAsia="仿宋_GB2312"/>
          <w:kern w:val="2"/>
          <w:sz w:val="32"/>
          <w:szCs w:val="32"/>
        </w:rPr>
        <w:t>街道主要领导</w:t>
      </w:r>
      <w:r>
        <w:rPr>
          <w:rFonts w:hint="eastAsia" w:ascii="仿宋_GB2312" w:eastAsia="仿宋_GB2312"/>
          <w:kern w:val="2"/>
          <w:sz w:val="32"/>
          <w:szCs w:val="32"/>
          <w:lang w:eastAsia="zh-CN"/>
        </w:rPr>
        <w:t>牵头，相关科室</w:t>
      </w:r>
      <w:r>
        <w:rPr>
          <w:rFonts w:hint="eastAsia" w:ascii="仿宋_GB2312" w:eastAsia="仿宋_GB2312"/>
          <w:kern w:val="2"/>
          <w:sz w:val="32"/>
          <w:szCs w:val="32"/>
        </w:rPr>
        <w:t>分管领导</w:t>
      </w:r>
      <w:r>
        <w:rPr>
          <w:rFonts w:hint="eastAsia" w:ascii="仿宋_GB2312" w:eastAsia="仿宋_GB2312"/>
          <w:kern w:val="2"/>
          <w:sz w:val="32"/>
          <w:szCs w:val="32"/>
          <w:lang w:eastAsia="zh-CN"/>
        </w:rPr>
        <w:t>负责，</w:t>
      </w:r>
      <w:r>
        <w:rPr>
          <w:rFonts w:hint="eastAsia" w:ascii="仿宋_GB2312" w:eastAsia="仿宋_GB2312"/>
          <w:kern w:val="2"/>
          <w:sz w:val="32"/>
          <w:szCs w:val="32"/>
        </w:rPr>
        <w:t>实行AB岗做好日常信息审核及发布工作</w:t>
      </w:r>
      <w:r>
        <w:rPr>
          <w:rFonts w:hint="eastAsia" w:ascii="仿宋_GB2312" w:eastAsia="仿宋_GB2312"/>
          <w:kern w:val="2"/>
          <w:sz w:val="32"/>
          <w:szCs w:val="32"/>
          <w:lang w:eastAsia="zh-CN"/>
        </w:rPr>
        <w:t>。</w:t>
      </w:r>
      <w:r>
        <w:rPr>
          <w:rFonts w:hint="eastAsia" w:ascii="仿宋_GB2312" w:eastAsia="仿宋_GB2312"/>
          <w:kern w:val="2"/>
          <w:sz w:val="32"/>
          <w:szCs w:val="32"/>
        </w:rPr>
        <w:t>按照时间节点</w:t>
      </w:r>
      <w:r>
        <w:rPr>
          <w:rFonts w:hint="eastAsia" w:ascii="仿宋_GB2312" w:eastAsia="仿宋_GB2312"/>
          <w:kern w:val="2"/>
          <w:sz w:val="32"/>
          <w:szCs w:val="32"/>
          <w:lang w:eastAsia="zh-CN"/>
        </w:rPr>
        <w:t>通过</w:t>
      </w:r>
      <w:r>
        <w:rPr>
          <w:rFonts w:hint="eastAsia" w:ascii="仿宋_GB2312" w:eastAsia="仿宋_GB2312"/>
          <w:kern w:val="2"/>
          <w:sz w:val="32"/>
          <w:szCs w:val="32"/>
        </w:rPr>
        <w:t>网站、峰之语公众号</w:t>
      </w:r>
      <w:r>
        <w:rPr>
          <w:rFonts w:hint="eastAsia" w:ascii="仿宋_GB2312" w:eastAsia="仿宋_GB2312"/>
          <w:kern w:val="2"/>
          <w:sz w:val="32"/>
          <w:szCs w:val="32"/>
          <w:lang w:eastAsia="zh-CN"/>
        </w:rPr>
        <w:t>、微博等多个平台</w:t>
      </w:r>
      <w:r>
        <w:rPr>
          <w:rFonts w:hint="eastAsia" w:ascii="仿宋_GB2312" w:eastAsia="仿宋_GB2312"/>
          <w:kern w:val="2"/>
          <w:sz w:val="32"/>
          <w:szCs w:val="32"/>
        </w:rPr>
        <w:t>及时</w:t>
      </w:r>
      <w:r>
        <w:rPr>
          <w:rFonts w:hint="eastAsia" w:ascii="仿宋_GB2312" w:eastAsia="仿宋_GB2312"/>
          <w:kern w:val="2"/>
          <w:sz w:val="32"/>
          <w:szCs w:val="32"/>
          <w:lang w:eastAsia="zh-CN"/>
        </w:rPr>
        <w:t>做好</w:t>
      </w:r>
      <w:r>
        <w:rPr>
          <w:rFonts w:hint="eastAsia" w:ascii="仿宋_GB2312" w:eastAsia="仿宋_GB2312"/>
          <w:kern w:val="2"/>
          <w:sz w:val="32"/>
          <w:szCs w:val="32"/>
        </w:rPr>
        <w:t>公开</w:t>
      </w:r>
      <w:r>
        <w:rPr>
          <w:rFonts w:hint="eastAsia" w:ascii="仿宋_GB2312" w:eastAsia="仿宋_GB2312"/>
          <w:kern w:val="2"/>
          <w:sz w:val="32"/>
          <w:szCs w:val="32"/>
          <w:lang w:eastAsia="zh-CN"/>
        </w:rPr>
        <w:t>工作；同时</w:t>
      </w:r>
      <w:r>
        <w:rPr>
          <w:rFonts w:hint="eastAsia" w:ascii="仿宋_GB2312" w:eastAsia="仿宋_GB2312"/>
          <w:kern w:val="2"/>
          <w:sz w:val="32"/>
          <w:szCs w:val="32"/>
        </w:rPr>
        <w:t>积极配合区级部门完成</w:t>
      </w:r>
      <w:r>
        <w:rPr>
          <w:rFonts w:hint="eastAsia" w:ascii="仿宋_GB2312" w:eastAsia="仿宋_GB2312"/>
          <w:kern w:val="2"/>
          <w:sz w:val="32"/>
          <w:szCs w:val="32"/>
          <w:lang w:eastAsia="zh-CN"/>
        </w:rPr>
        <w:t>各项整改任务，加强</w:t>
      </w:r>
      <w:r>
        <w:rPr>
          <w:rFonts w:hint="eastAsia" w:ascii="仿宋_GB2312" w:eastAsia="仿宋_GB2312"/>
          <w:kern w:val="2"/>
          <w:sz w:val="32"/>
          <w:szCs w:val="32"/>
        </w:rPr>
        <w:t>信息互联互通，</w:t>
      </w:r>
      <w:r>
        <w:rPr>
          <w:rFonts w:hint="eastAsia" w:ascii="仿宋_GB2312" w:eastAsia="仿宋_GB2312"/>
          <w:kern w:val="2"/>
          <w:sz w:val="32"/>
          <w:szCs w:val="32"/>
          <w:lang w:eastAsia="zh-CN"/>
        </w:rPr>
        <w:t>确保街道政府信息公开工作持续良好开展。</w:t>
      </w:r>
    </w:p>
    <w:p>
      <w:pPr>
        <w:spacing w:line="560" w:lineRule="exact"/>
        <w:ind w:firstLine="643" w:firstLineChars="200"/>
        <w:rPr>
          <w:rFonts w:hint="eastAsia" w:ascii="仿宋_GB2312" w:eastAsia="仿宋_GB2312"/>
          <w:kern w:val="2"/>
          <w:sz w:val="32"/>
          <w:szCs w:val="32"/>
        </w:rPr>
      </w:pPr>
      <w:r>
        <w:rPr>
          <w:rFonts w:hint="eastAsia" w:ascii="仿宋_GB2312" w:hAnsi="Times New Roman" w:eastAsia="仿宋_GB2312" w:cs="Times New Roman"/>
          <w:b/>
          <w:bCs/>
          <w:kern w:val="2"/>
          <w:sz w:val="32"/>
          <w:szCs w:val="32"/>
          <w:lang w:val="en-US" w:eastAsia="zh-CN"/>
        </w:rPr>
        <w:t>二是完善工作</w:t>
      </w:r>
      <w:r>
        <w:rPr>
          <w:rFonts w:hint="eastAsia" w:ascii="仿宋_GB2312" w:eastAsia="仿宋_GB2312" w:cs="Times New Roman"/>
          <w:b/>
          <w:bCs/>
          <w:kern w:val="2"/>
          <w:sz w:val="32"/>
          <w:szCs w:val="32"/>
          <w:lang w:val="en-US" w:eastAsia="zh-CN"/>
        </w:rPr>
        <w:t>制度，规范推进信息公开。</w:t>
      </w:r>
      <w:r>
        <w:rPr>
          <w:rFonts w:hint="eastAsia" w:ascii="仿宋_GB2312" w:eastAsia="仿宋_GB2312" w:cs="Times New Roman"/>
          <w:b w:val="0"/>
          <w:bCs w:val="0"/>
          <w:kern w:val="2"/>
          <w:sz w:val="32"/>
          <w:szCs w:val="32"/>
          <w:lang w:val="en-US" w:eastAsia="zh-CN"/>
        </w:rPr>
        <w:t>为进一步加强政府信息公开标准化、规范化建设，我街道进一步</w:t>
      </w:r>
      <w:r>
        <w:rPr>
          <w:rFonts w:hint="eastAsia" w:ascii="仿宋_GB2312" w:eastAsia="仿宋_GB2312"/>
          <w:kern w:val="2"/>
          <w:sz w:val="32"/>
          <w:szCs w:val="32"/>
        </w:rPr>
        <w:t>完善</w:t>
      </w:r>
      <w:r>
        <w:rPr>
          <w:rFonts w:hint="eastAsia" w:ascii="仿宋_GB2312" w:eastAsia="仿宋_GB2312"/>
          <w:kern w:val="2"/>
          <w:sz w:val="32"/>
          <w:szCs w:val="32"/>
          <w:lang w:eastAsia="zh-CN"/>
        </w:rPr>
        <w:t>了</w:t>
      </w:r>
      <w:r>
        <w:rPr>
          <w:rFonts w:hint="eastAsia" w:ascii="仿宋_GB2312" w:eastAsia="仿宋_GB2312"/>
          <w:kern w:val="2"/>
          <w:sz w:val="32"/>
          <w:szCs w:val="32"/>
        </w:rPr>
        <w:t>《白峰街道办事处信息公开指南》和《白峰街道政府信息公开目录》，明确政府信息公开的职责、程序、方式和时限要求等。</w:t>
      </w:r>
      <w:r>
        <w:rPr>
          <w:rFonts w:hint="eastAsia" w:ascii="仿宋_GB2312" w:eastAsia="仿宋_GB2312"/>
          <w:kern w:val="2"/>
          <w:sz w:val="32"/>
          <w:szCs w:val="32"/>
          <w:lang w:eastAsia="zh-CN"/>
        </w:rPr>
        <w:t>加强保密队伍建设，要求各科室把政府信息公开保密审查程序与公文运转程序、信息发布程序相结合，落实信息公开保密审查制度，细化工作标准，规范信息发布，确保街道政府信息公开工作规范稳定开展。</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3" w:firstLineChars="200"/>
        <w:jc w:val="both"/>
        <w:textAlignment w:val="auto"/>
        <w:rPr>
          <w:rFonts w:hint="eastAsia" w:ascii="仿宋_GB2312" w:eastAsia="仿宋_GB2312"/>
          <w:kern w:val="2"/>
          <w:sz w:val="32"/>
          <w:szCs w:val="32"/>
          <w:lang w:eastAsia="zh-CN"/>
        </w:rPr>
      </w:pPr>
      <w:r>
        <w:rPr>
          <w:rFonts w:hint="eastAsia" w:ascii="仿宋_GB2312" w:eastAsia="仿宋_GB2312"/>
          <w:b/>
          <w:bCs/>
          <w:kern w:val="2"/>
          <w:sz w:val="32"/>
          <w:szCs w:val="32"/>
        </w:rPr>
        <w:t>三是健全监督</w:t>
      </w:r>
      <w:r>
        <w:rPr>
          <w:rFonts w:hint="eastAsia" w:ascii="仿宋_GB2312" w:eastAsia="仿宋_GB2312"/>
          <w:b/>
          <w:bCs/>
          <w:kern w:val="2"/>
          <w:sz w:val="32"/>
          <w:szCs w:val="32"/>
          <w:lang w:eastAsia="zh-CN"/>
        </w:rPr>
        <w:t>机制，优化信息公开质量。</w:t>
      </w:r>
      <w:r>
        <w:rPr>
          <w:rFonts w:hint="eastAsia" w:ascii="仿宋_GB2312" w:eastAsia="仿宋_GB2312"/>
          <w:kern w:val="2"/>
          <w:sz w:val="32"/>
          <w:szCs w:val="32"/>
        </w:rPr>
        <w:t>街道</w:t>
      </w:r>
      <w:r>
        <w:rPr>
          <w:rFonts w:ascii="仿宋_GB2312" w:eastAsia="仿宋_GB2312"/>
          <w:kern w:val="2"/>
          <w:sz w:val="32"/>
          <w:szCs w:val="32"/>
        </w:rPr>
        <w:t>纪</w:t>
      </w:r>
      <w:r>
        <w:rPr>
          <w:rFonts w:hint="eastAsia" w:ascii="仿宋_GB2312" w:eastAsia="仿宋_GB2312"/>
          <w:kern w:val="2"/>
          <w:sz w:val="32"/>
          <w:szCs w:val="32"/>
        </w:rPr>
        <w:t>工</w:t>
      </w:r>
      <w:r>
        <w:rPr>
          <w:rFonts w:ascii="仿宋_GB2312" w:eastAsia="仿宋_GB2312"/>
          <w:kern w:val="2"/>
          <w:sz w:val="32"/>
          <w:szCs w:val="32"/>
        </w:rPr>
        <w:t>委</w:t>
      </w:r>
      <w:r>
        <w:rPr>
          <w:rFonts w:hint="eastAsia" w:ascii="仿宋_GB2312" w:eastAsia="仿宋_GB2312"/>
          <w:kern w:val="2"/>
          <w:sz w:val="32"/>
          <w:szCs w:val="32"/>
        </w:rPr>
        <w:t>、人大</w:t>
      </w:r>
      <w:r>
        <w:rPr>
          <w:rFonts w:ascii="仿宋_GB2312" w:eastAsia="仿宋_GB2312"/>
          <w:kern w:val="2"/>
          <w:sz w:val="32"/>
          <w:szCs w:val="32"/>
        </w:rPr>
        <w:t>协同负责</w:t>
      </w:r>
      <w:r>
        <w:rPr>
          <w:rFonts w:hint="eastAsia" w:ascii="仿宋_GB2312" w:eastAsia="仿宋_GB2312"/>
          <w:kern w:val="2"/>
          <w:sz w:val="32"/>
          <w:szCs w:val="32"/>
        </w:rPr>
        <w:t>对政务公开的信息量、完整性、时效性、准确性等进行检查和指导</w:t>
      </w:r>
      <w:r>
        <w:rPr>
          <w:rFonts w:hint="eastAsia" w:ascii="仿宋_GB2312" w:eastAsia="仿宋_GB2312"/>
          <w:kern w:val="2"/>
          <w:sz w:val="32"/>
          <w:szCs w:val="32"/>
          <w:lang w:eastAsia="zh-CN"/>
        </w:rPr>
        <w:t>，及时解决</w:t>
      </w:r>
      <w:r>
        <w:rPr>
          <w:rFonts w:hint="eastAsia" w:ascii="仿宋_GB2312" w:eastAsia="仿宋_GB2312"/>
          <w:kern w:val="2"/>
          <w:sz w:val="32"/>
          <w:szCs w:val="32"/>
        </w:rPr>
        <w:t>工作中出现的新问题</w:t>
      </w:r>
      <w:r>
        <w:rPr>
          <w:rFonts w:hint="eastAsia" w:ascii="仿宋_GB2312" w:eastAsia="仿宋_GB2312"/>
          <w:kern w:val="2"/>
          <w:sz w:val="32"/>
          <w:szCs w:val="32"/>
          <w:lang w:eastAsia="zh-CN"/>
        </w:rPr>
        <w:t>、</w:t>
      </w:r>
      <w:r>
        <w:rPr>
          <w:rFonts w:hint="eastAsia" w:ascii="仿宋_GB2312" w:eastAsia="仿宋_GB2312"/>
          <w:kern w:val="2"/>
          <w:sz w:val="32"/>
          <w:szCs w:val="32"/>
        </w:rPr>
        <w:t>新情况</w:t>
      </w:r>
      <w:r>
        <w:rPr>
          <w:rFonts w:hint="eastAsia" w:ascii="仿宋_GB2312" w:eastAsia="仿宋_GB2312"/>
          <w:kern w:val="2"/>
          <w:sz w:val="32"/>
          <w:szCs w:val="32"/>
          <w:lang w:eastAsia="zh-CN"/>
        </w:rPr>
        <w:t>，保障信息公开的时效性和准确性。</w:t>
      </w:r>
      <w:r>
        <w:rPr>
          <w:rFonts w:hint="eastAsia" w:ascii="仿宋_GB2312" w:hAnsi="仿宋_GB2312" w:eastAsia="仿宋_GB2312" w:cs="仿宋_GB2312"/>
          <w:b w:val="0"/>
          <w:bCs/>
          <w:color w:val="000000"/>
          <w:sz w:val="32"/>
          <w:szCs w:val="32"/>
        </w:rPr>
        <w:t>定期组织全街道机关干部开展信息公开业务培训，学习信息公开的法律法规和办理流程等相关业务知识，提高信息公开工作的规范意识、效率意识和责任意识。</w:t>
      </w:r>
      <w:r>
        <w:rPr>
          <w:rFonts w:hint="eastAsia" w:ascii="仿宋_GB2312" w:eastAsia="仿宋_GB2312"/>
          <w:kern w:val="2"/>
          <w:sz w:val="32"/>
          <w:szCs w:val="32"/>
          <w:lang w:eastAsia="zh-CN"/>
        </w:rPr>
        <w:t>同时，通过电话、邮箱、信件等方式接受社会公众的监督。</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eastAsia="仿宋_GB2312"/>
          <w:kern w:val="2"/>
          <w:sz w:val="32"/>
          <w:szCs w:val="32"/>
          <w:lang w:eastAsia="zh-CN"/>
        </w:rPr>
      </w:pP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二、主动公开政府信息情况</w:t>
      </w:r>
    </w:p>
    <w:tbl>
      <w:tblPr>
        <w:tblStyle w:val="4"/>
        <w:tblW w:w="90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669"/>
        <w:gridCol w:w="2310"/>
        <w:gridCol w:w="2115"/>
        <w:gridCol w:w="19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exact"/>
          <w:jc w:val="center"/>
        </w:trPr>
        <w:tc>
          <w:tcPr>
            <w:tcW w:w="9050" w:type="dxa"/>
            <w:gridSpan w:val="4"/>
            <w:tcBorders>
              <w:top w:val="single" w:color="auto" w:sz="8" w:space="0"/>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黑体" w:hAnsi="黑体" w:eastAsia="黑体" w:cs="黑体"/>
                <w:sz w:val="24"/>
                <w:szCs w:val="22"/>
                <w:lang w:val="en-US" w:eastAsia="zh-CN" w:bidi="ar-SA"/>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7" w:hRule="exact"/>
          <w:jc w:val="center"/>
        </w:trPr>
        <w:tc>
          <w:tcPr>
            <w:tcW w:w="2669"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信息内容</w:t>
            </w:r>
          </w:p>
        </w:tc>
        <w:tc>
          <w:tcPr>
            <w:tcW w:w="2310" w:type="dxa"/>
            <w:tcBorders>
              <w:top w:val="single" w:color="auto" w:sz="8" w:space="0"/>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本年新制作数量</w:t>
            </w:r>
          </w:p>
        </w:tc>
        <w:tc>
          <w:tcPr>
            <w:tcW w:w="211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本年新公开数量</w:t>
            </w:r>
          </w:p>
        </w:tc>
        <w:tc>
          <w:tcPr>
            <w:tcW w:w="1956" w:type="dxa"/>
            <w:tcBorders>
              <w:top w:val="nil"/>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8" w:hRule="exact"/>
          <w:jc w:val="center"/>
        </w:trPr>
        <w:tc>
          <w:tcPr>
            <w:tcW w:w="2669"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规章</w:t>
            </w:r>
          </w:p>
        </w:tc>
        <w:tc>
          <w:tcPr>
            <w:tcW w:w="2310" w:type="dxa"/>
            <w:tcBorders>
              <w:top w:val="nil"/>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c>
          <w:tcPr>
            <w:tcW w:w="211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jc w:val="center"/>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c>
          <w:tcPr>
            <w:tcW w:w="1956" w:type="dxa"/>
            <w:tcBorders>
              <w:top w:val="nil"/>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2" w:hRule="exact"/>
          <w:jc w:val="center"/>
        </w:trPr>
        <w:tc>
          <w:tcPr>
            <w:tcW w:w="2669"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规范性文件</w:t>
            </w:r>
          </w:p>
        </w:tc>
        <w:tc>
          <w:tcPr>
            <w:tcW w:w="2310" w:type="dxa"/>
            <w:tcBorders>
              <w:top w:val="nil"/>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5</w:t>
            </w:r>
          </w:p>
        </w:tc>
        <w:tc>
          <w:tcPr>
            <w:tcW w:w="211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5</w:t>
            </w:r>
          </w:p>
        </w:tc>
        <w:tc>
          <w:tcPr>
            <w:tcW w:w="1956" w:type="dxa"/>
            <w:tcBorders>
              <w:top w:val="nil"/>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2" w:hRule="exact"/>
          <w:jc w:val="center"/>
        </w:trPr>
        <w:tc>
          <w:tcPr>
            <w:tcW w:w="9050" w:type="dxa"/>
            <w:gridSpan w:val="4"/>
            <w:tcBorders>
              <w:top w:val="nil"/>
              <w:left w:val="single" w:color="auto" w:sz="8" w:space="0"/>
              <w:bottom w:val="single" w:color="auto" w:sz="4"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黑体" w:hAnsi="黑体" w:eastAsia="黑体" w:cs="黑体"/>
                <w:sz w:val="24"/>
                <w:szCs w:val="22"/>
                <w:lang w:val="en-US" w:eastAsia="zh-CN" w:bidi="ar-SA"/>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4" w:hRule="exact"/>
          <w:jc w:val="center"/>
        </w:trPr>
        <w:tc>
          <w:tcPr>
            <w:tcW w:w="2669" w:type="dxa"/>
            <w:tcBorders>
              <w:top w:val="single" w:color="auto" w:sz="4" w:space="0"/>
              <w:left w:val="single" w:color="auto" w:sz="4" w:space="0"/>
              <w:bottom w:val="single" w:color="auto" w:sz="4"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信息内容</w:t>
            </w:r>
          </w:p>
        </w:tc>
        <w:tc>
          <w:tcPr>
            <w:tcW w:w="2310" w:type="dxa"/>
            <w:tcBorders>
              <w:top w:val="single" w:color="auto" w:sz="4" w:space="0"/>
              <w:left w:val="nil"/>
              <w:bottom w:val="single" w:color="auto" w:sz="4"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上一年项目数量</w:t>
            </w:r>
          </w:p>
        </w:tc>
        <w:tc>
          <w:tcPr>
            <w:tcW w:w="2115" w:type="dxa"/>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本年增/减</w:t>
            </w:r>
          </w:p>
        </w:tc>
        <w:tc>
          <w:tcPr>
            <w:tcW w:w="1956" w:type="dxa"/>
            <w:tcBorders>
              <w:top w:val="single" w:color="auto" w:sz="4" w:space="0"/>
              <w:left w:val="nil"/>
              <w:bottom w:val="single" w:color="auto" w:sz="4" w:space="0"/>
              <w:right w:val="single" w:color="auto" w:sz="4"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8" w:hRule="exact"/>
          <w:jc w:val="center"/>
        </w:trPr>
        <w:tc>
          <w:tcPr>
            <w:tcW w:w="2669" w:type="dxa"/>
            <w:tcBorders>
              <w:top w:val="single" w:color="auto" w:sz="4" w:space="0"/>
              <w:left w:val="single" w:color="auto" w:sz="8" w:space="0"/>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行政许可</w:t>
            </w:r>
          </w:p>
        </w:tc>
        <w:tc>
          <w:tcPr>
            <w:tcW w:w="2310" w:type="dxa"/>
            <w:tcBorders>
              <w:top w:val="single" w:color="auto" w:sz="4" w:space="0"/>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c>
          <w:tcPr>
            <w:tcW w:w="2115" w:type="dxa"/>
            <w:tcBorders>
              <w:top w:val="single" w:color="auto" w:sz="4" w:space="0"/>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c>
          <w:tcPr>
            <w:tcW w:w="1956" w:type="dxa"/>
            <w:tcBorders>
              <w:top w:val="single" w:color="auto" w:sz="4" w:space="0"/>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exact"/>
          <w:jc w:val="center"/>
        </w:trPr>
        <w:tc>
          <w:tcPr>
            <w:tcW w:w="2669" w:type="dxa"/>
            <w:tcBorders>
              <w:top w:val="nil"/>
              <w:left w:val="single" w:color="auto" w:sz="8" w:space="0"/>
              <w:bottom w:val="single" w:color="auto" w:sz="4"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其他对外管理服务事项</w:t>
            </w:r>
          </w:p>
        </w:tc>
        <w:tc>
          <w:tcPr>
            <w:tcW w:w="2310" w:type="dxa"/>
            <w:tcBorders>
              <w:top w:val="nil"/>
              <w:left w:val="nil"/>
              <w:bottom w:val="single" w:color="auto" w:sz="4"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c>
          <w:tcPr>
            <w:tcW w:w="2115" w:type="dxa"/>
            <w:tcBorders>
              <w:top w:val="nil"/>
              <w:left w:val="nil"/>
              <w:bottom w:val="single" w:color="auto" w:sz="4"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c>
          <w:tcPr>
            <w:tcW w:w="1956" w:type="dxa"/>
            <w:tcBorders>
              <w:top w:val="nil"/>
              <w:left w:val="nil"/>
              <w:bottom w:val="single" w:color="auto" w:sz="4"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exact"/>
          <w:jc w:val="center"/>
        </w:trPr>
        <w:tc>
          <w:tcPr>
            <w:tcW w:w="9050" w:type="dxa"/>
            <w:gridSpan w:val="4"/>
            <w:tcBorders>
              <w:top w:val="single" w:color="auto" w:sz="4" w:space="0"/>
              <w:left w:val="single" w:color="auto" w:sz="4" w:space="0"/>
              <w:bottom w:val="single" w:color="auto" w:sz="4" w:space="0"/>
              <w:right w:val="single" w:color="auto" w:sz="4"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黑体" w:hAnsi="黑体" w:eastAsia="黑体" w:cs="黑体"/>
                <w:sz w:val="24"/>
                <w:szCs w:val="22"/>
                <w:lang w:val="en-US" w:eastAsia="zh-CN" w:bidi="ar-SA"/>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9" w:hRule="exact"/>
          <w:jc w:val="center"/>
        </w:trPr>
        <w:tc>
          <w:tcPr>
            <w:tcW w:w="2669" w:type="dxa"/>
            <w:tcBorders>
              <w:top w:val="single" w:color="auto" w:sz="4" w:space="0"/>
              <w:left w:val="single" w:color="auto" w:sz="4" w:space="0"/>
              <w:bottom w:val="single" w:color="auto" w:sz="4"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信息内容</w:t>
            </w:r>
          </w:p>
        </w:tc>
        <w:tc>
          <w:tcPr>
            <w:tcW w:w="2310" w:type="dxa"/>
            <w:tcBorders>
              <w:top w:val="single" w:color="auto" w:sz="4" w:space="0"/>
              <w:left w:val="nil"/>
              <w:bottom w:val="single" w:color="auto" w:sz="4"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上一年项目数量</w:t>
            </w:r>
          </w:p>
        </w:tc>
        <w:tc>
          <w:tcPr>
            <w:tcW w:w="2115" w:type="dxa"/>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本年增/减</w:t>
            </w:r>
          </w:p>
        </w:tc>
        <w:tc>
          <w:tcPr>
            <w:tcW w:w="1956" w:type="dxa"/>
            <w:tcBorders>
              <w:top w:val="single" w:color="auto" w:sz="4" w:space="0"/>
              <w:left w:val="nil"/>
              <w:bottom w:val="single" w:color="auto" w:sz="4" w:space="0"/>
              <w:right w:val="single" w:color="auto" w:sz="4"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2" w:hRule="exact"/>
          <w:jc w:val="center"/>
        </w:trPr>
        <w:tc>
          <w:tcPr>
            <w:tcW w:w="2669" w:type="dxa"/>
            <w:tcBorders>
              <w:top w:val="single" w:color="auto" w:sz="4" w:space="0"/>
              <w:left w:val="single" w:color="auto" w:sz="8" w:space="0"/>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行政处罚</w:t>
            </w:r>
          </w:p>
        </w:tc>
        <w:tc>
          <w:tcPr>
            <w:tcW w:w="2310" w:type="dxa"/>
            <w:tcBorders>
              <w:top w:val="single" w:color="auto" w:sz="4" w:space="0"/>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c>
          <w:tcPr>
            <w:tcW w:w="2115" w:type="dxa"/>
            <w:tcBorders>
              <w:top w:val="single" w:color="auto" w:sz="4" w:space="0"/>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c>
          <w:tcPr>
            <w:tcW w:w="1956" w:type="dxa"/>
            <w:tcBorders>
              <w:top w:val="single" w:color="auto" w:sz="4" w:space="0"/>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2" w:hRule="exact"/>
          <w:jc w:val="center"/>
        </w:trPr>
        <w:tc>
          <w:tcPr>
            <w:tcW w:w="2669"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行政强制</w:t>
            </w:r>
          </w:p>
        </w:tc>
        <w:tc>
          <w:tcPr>
            <w:tcW w:w="2310" w:type="dxa"/>
            <w:tcBorders>
              <w:top w:val="nil"/>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c>
          <w:tcPr>
            <w:tcW w:w="2115" w:type="dxa"/>
            <w:tcBorders>
              <w:top w:val="nil"/>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c>
          <w:tcPr>
            <w:tcW w:w="1956" w:type="dxa"/>
            <w:tcBorders>
              <w:top w:val="nil"/>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exact"/>
          <w:jc w:val="center"/>
        </w:trPr>
        <w:tc>
          <w:tcPr>
            <w:tcW w:w="9050" w:type="dxa"/>
            <w:gridSpan w:val="4"/>
            <w:tcBorders>
              <w:top w:val="nil"/>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黑体" w:hAnsi="黑体" w:eastAsia="黑体" w:cs="黑体"/>
                <w:sz w:val="24"/>
                <w:szCs w:val="22"/>
                <w:lang w:val="en-US" w:eastAsia="zh-CN" w:bidi="ar-SA"/>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7" w:hRule="exact"/>
          <w:jc w:val="center"/>
        </w:trPr>
        <w:tc>
          <w:tcPr>
            <w:tcW w:w="2669"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信息内容</w:t>
            </w:r>
          </w:p>
        </w:tc>
        <w:tc>
          <w:tcPr>
            <w:tcW w:w="2310" w:type="dxa"/>
            <w:tcBorders>
              <w:top w:val="nil"/>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上一年项目数量</w:t>
            </w:r>
          </w:p>
        </w:tc>
        <w:tc>
          <w:tcPr>
            <w:tcW w:w="4071" w:type="dxa"/>
            <w:gridSpan w:val="2"/>
            <w:tcBorders>
              <w:top w:val="single" w:color="auto" w:sz="8" w:space="0"/>
              <w:left w:val="nil"/>
              <w:bottom w:val="single" w:color="auto" w:sz="8" w:space="0"/>
              <w:right w:val="single" w:color="000000"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exact"/>
          <w:jc w:val="center"/>
        </w:trPr>
        <w:tc>
          <w:tcPr>
            <w:tcW w:w="2669"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行政事业性收费</w:t>
            </w:r>
          </w:p>
        </w:tc>
        <w:tc>
          <w:tcPr>
            <w:tcW w:w="2310" w:type="dxa"/>
            <w:tcBorders>
              <w:top w:val="nil"/>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c>
          <w:tcPr>
            <w:tcW w:w="4071" w:type="dxa"/>
            <w:gridSpan w:val="2"/>
            <w:tcBorders>
              <w:top w:val="nil"/>
              <w:left w:val="nil"/>
              <w:bottom w:val="single" w:color="auto" w:sz="8" w:space="0"/>
              <w:right w:val="single" w:color="000000"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exact"/>
          <w:jc w:val="center"/>
        </w:trPr>
        <w:tc>
          <w:tcPr>
            <w:tcW w:w="9050" w:type="dxa"/>
            <w:gridSpan w:val="4"/>
            <w:tcBorders>
              <w:top w:val="nil"/>
              <w:left w:val="single" w:color="auto" w:sz="8" w:space="0"/>
              <w:bottom w:val="single" w:color="auto" w:sz="4"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黑体" w:hAnsi="黑体" w:eastAsia="黑体" w:cs="黑体"/>
                <w:sz w:val="24"/>
                <w:szCs w:val="22"/>
                <w:lang w:val="en-US" w:eastAsia="zh-CN" w:bidi="ar-SA"/>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0" w:hRule="exact"/>
          <w:jc w:val="center"/>
        </w:trPr>
        <w:tc>
          <w:tcPr>
            <w:tcW w:w="2669" w:type="dxa"/>
            <w:tcBorders>
              <w:top w:val="single" w:color="auto" w:sz="4" w:space="0"/>
              <w:left w:val="single" w:color="auto" w:sz="4" w:space="0"/>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信息内容</w:t>
            </w:r>
          </w:p>
        </w:tc>
        <w:tc>
          <w:tcPr>
            <w:tcW w:w="2310" w:type="dxa"/>
            <w:tcBorders>
              <w:top w:val="single" w:color="auto" w:sz="4" w:space="0"/>
              <w:left w:val="nil"/>
              <w:bottom w:val="single" w:color="auto" w:sz="8"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采购项目数量</w:t>
            </w:r>
          </w:p>
        </w:tc>
        <w:tc>
          <w:tcPr>
            <w:tcW w:w="4071" w:type="dxa"/>
            <w:gridSpan w:val="2"/>
            <w:tcBorders>
              <w:top w:val="single" w:color="auto" w:sz="4" w:space="0"/>
              <w:left w:val="nil"/>
              <w:bottom w:val="single" w:color="auto" w:sz="8" w:space="0"/>
              <w:right w:val="single" w:color="auto" w:sz="4"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669" w:type="dxa"/>
            <w:tcBorders>
              <w:top w:val="nil"/>
              <w:left w:val="single" w:color="auto" w:sz="4" w:space="0"/>
              <w:bottom w:val="single" w:color="auto" w:sz="4"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政府集中采购</w:t>
            </w:r>
          </w:p>
        </w:tc>
        <w:tc>
          <w:tcPr>
            <w:tcW w:w="2310" w:type="dxa"/>
            <w:tcBorders>
              <w:top w:val="nil"/>
              <w:left w:val="nil"/>
              <w:bottom w:val="single" w:color="auto" w:sz="4" w:space="0"/>
              <w:right w:val="single" w:color="auto" w:sz="8"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49</w:t>
            </w:r>
          </w:p>
        </w:tc>
        <w:tc>
          <w:tcPr>
            <w:tcW w:w="4071" w:type="dxa"/>
            <w:gridSpan w:val="2"/>
            <w:tcBorders>
              <w:top w:val="nil"/>
              <w:left w:val="nil"/>
              <w:bottom w:val="single" w:color="auto" w:sz="4" w:space="0"/>
              <w:right w:val="single" w:color="auto" w:sz="4" w:space="0"/>
              <w:tl2br w:val="nil"/>
              <w:tr2bl w:val="nil"/>
            </w:tcBorders>
            <w:noWrap/>
            <w:tcMar>
              <w:left w:w="108" w:type="dxa"/>
              <w:right w:w="108" w:type="dxa"/>
            </w:tcMar>
            <w:vAlign w:val="center"/>
          </w:tcPr>
          <w:p>
            <w:pPr>
              <w:widowControl w:val="0"/>
              <w:spacing w:beforeLines="-2147483648" w:afterLines="-2147483648" w:line="400" w:lineRule="exact"/>
              <w:jc w:val="center"/>
              <w:rPr>
                <w:rFonts w:hint="default"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126.25万元</w:t>
            </w:r>
          </w:p>
        </w:tc>
      </w:tr>
    </w:tbl>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三、收到和处理政府信息公开申请情况</w:t>
      </w:r>
    </w:p>
    <w:tbl>
      <w:tblPr>
        <w:tblStyle w:val="4"/>
        <w:tblW w:w="9560"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1703"/>
        <w:gridCol w:w="975"/>
        <w:gridCol w:w="2021"/>
        <w:gridCol w:w="630"/>
        <w:gridCol w:w="825"/>
        <w:gridCol w:w="705"/>
        <w:gridCol w:w="870"/>
        <w:gridCol w:w="810"/>
        <w:gridCol w:w="525"/>
        <w:gridCol w:w="49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2" w:hRule="atLeast"/>
          <w:jc w:val="center"/>
        </w:trPr>
        <w:tc>
          <w:tcPr>
            <w:tcW w:w="4699" w:type="dxa"/>
            <w:gridSpan w:val="3"/>
            <w:vMerge w:val="restart"/>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（本列数据的勾稽关系为：第一项加第二项之和，等于第三项加第四项之和）</w:t>
            </w:r>
          </w:p>
        </w:tc>
        <w:tc>
          <w:tcPr>
            <w:tcW w:w="4861" w:type="dxa"/>
            <w:gridSpan w:val="7"/>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atLeast"/>
          <w:jc w:val="center"/>
        </w:trPr>
        <w:tc>
          <w:tcPr>
            <w:tcW w:w="4699" w:type="dxa"/>
            <w:gridSpan w:val="3"/>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630" w:type="dxa"/>
            <w:vMerge w:val="restart"/>
            <w:tcBorders>
              <w:top w:val="nil"/>
              <w:left w:val="nil"/>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自然人</w:t>
            </w:r>
          </w:p>
        </w:tc>
        <w:tc>
          <w:tcPr>
            <w:tcW w:w="3735" w:type="dxa"/>
            <w:gridSpan w:val="5"/>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法人或其他组织</w:t>
            </w:r>
          </w:p>
        </w:tc>
        <w:tc>
          <w:tcPr>
            <w:tcW w:w="496" w:type="dxa"/>
            <w:vMerge w:val="restart"/>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4699" w:type="dxa"/>
            <w:gridSpan w:val="3"/>
            <w:vMerge w:val="continue"/>
            <w:tcBorders>
              <w:top w:val="single" w:color="auto" w:sz="8" w:space="0"/>
              <w:left w:val="single" w:color="auto" w:sz="8" w:space="0"/>
              <w:bottom w:val="single" w:color="000000"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630" w:type="dxa"/>
            <w:vMerge w:val="continue"/>
            <w:tcBorders>
              <w:top w:val="nil"/>
              <w:left w:val="nil"/>
              <w:bottom w:val="single" w:color="000000"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p>
        </w:tc>
        <w:tc>
          <w:tcPr>
            <w:tcW w:w="825" w:type="dxa"/>
            <w:tcBorders>
              <w:top w:val="nil"/>
              <w:left w:val="nil"/>
              <w:bottom w:val="single" w:color="000000"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商业企业</w:t>
            </w:r>
          </w:p>
        </w:tc>
        <w:tc>
          <w:tcPr>
            <w:tcW w:w="705" w:type="dxa"/>
            <w:tcBorders>
              <w:top w:val="nil"/>
              <w:left w:val="nil"/>
              <w:bottom w:val="single" w:color="000000"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科研机构</w:t>
            </w:r>
          </w:p>
        </w:tc>
        <w:tc>
          <w:tcPr>
            <w:tcW w:w="870" w:type="dxa"/>
            <w:tcBorders>
              <w:top w:val="single" w:color="auto" w:sz="8" w:space="0"/>
              <w:left w:val="nil"/>
              <w:bottom w:val="single" w:color="000000"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社会公益组织</w:t>
            </w:r>
          </w:p>
        </w:tc>
        <w:tc>
          <w:tcPr>
            <w:tcW w:w="810" w:type="dxa"/>
            <w:tcBorders>
              <w:top w:val="single" w:color="auto" w:sz="8" w:space="0"/>
              <w:left w:val="nil"/>
              <w:bottom w:val="single" w:color="000000"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法律服务机构</w:t>
            </w:r>
          </w:p>
        </w:tc>
        <w:tc>
          <w:tcPr>
            <w:tcW w:w="525" w:type="dxa"/>
            <w:tcBorders>
              <w:top w:val="single" w:color="auto" w:sz="8" w:space="0"/>
              <w:left w:val="nil"/>
              <w:bottom w:val="single" w:color="000000"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r>
              <w:rPr>
                <w:rFonts w:hint="eastAsia" w:ascii="黑体" w:hAnsi="黑体" w:eastAsia="黑体" w:cs="黑体"/>
                <w:sz w:val="24"/>
                <w:szCs w:val="22"/>
                <w:lang w:val="en-US" w:eastAsia="zh-CN" w:bidi="ar-SA"/>
              </w:rPr>
              <w:t>其他</w:t>
            </w:r>
          </w:p>
        </w:tc>
        <w:tc>
          <w:tcPr>
            <w:tcW w:w="496" w:type="dxa"/>
            <w:vMerge w:val="continue"/>
            <w:tcBorders>
              <w:top w:val="single" w:color="auto" w:sz="8" w:space="0"/>
              <w:left w:val="nil"/>
              <w:bottom w:val="single" w:color="000000"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jc w:val="center"/>
              <w:rPr>
                <w:rFonts w:hint="eastAsia" w:ascii="黑体" w:hAnsi="黑体" w:eastAsia="黑体" w:cs="黑体"/>
                <w:sz w:val="24"/>
                <w:szCs w:val="22"/>
                <w:lang w:val="en-US"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90" w:hRule="atLeast"/>
          <w:jc w:val="center"/>
        </w:trPr>
        <w:tc>
          <w:tcPr>
            <w:tcW w:w="4699" w:type="dxa"/>
            <w:gridSpan w:val="3"/>
            <w:tcBorders>
              <w:top w:val="single" w:color="000000" w:sz="8" w:space="0"/>
              <w:left w:val="single" w:color="000000" w:sz="8" w:space="0"/>
              <w:bottom w:val="single" w:color="000000"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一、本年新收政府信息公开申请数量</w:t>
            </w:r>
          </w:p>
        </w:tc>
        <w:tc>
          <w:tcPr>
            <w:tcW w:w="630" w:type="dxa"/>
            <w:tcBorders>
              <w:top w:val="single" w:color="000000" w:sz="8" w:space="0"/>
              <w:left w:val="nil"/>
              <w:bottom w:val="single" w:color="000000"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000000" w:sz="8" w:space="0"/>
              <w:left w:val="nil"/>
              <w:bottom w:val="single" w:color="000000"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single" w:color="000000" w:sz="8" w:space="0"/>
              <w:left w:val="nil"/>
              <w:bottom w:val="single" w:color="000000"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single" w:color="000000" w:sz="8" w:space="0"/>
              <w:left w:val="nil"/>
              <w:bottom w:val="single" w:color="000000"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single" w:color="000000" w:sz="8" w:space="0"/>
              <w:left w:val="nil"/>
              <w:bottom w:val="single" w:color="000000"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single" w:color="000000" w:sz="8" w:space="0"/>
              <w:left w:val="nil"/>
              <w:bottom w:val="single" w:color="000000"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single" w:color="000000" w:sz="8" w:space="0"/>
              <w:left w:val="nil"/>
              <w:bottom w:val="single" w:color="000000" w:sz="8" w:space="0"/>
              <w:right w:val="single" w:color="000000"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20" w:hRule="atLeast"/>
          <w:jc w:val="center"/>
        </w:trPr>
        <w:tc>
          <w:tcPr>
            <w:tcW w:w="4699" w:type="dxa"/>
            <w:gridSpan w:val="3"/>
            <w:tcBorders>
              <w:top w:val="single" w:color="000000"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二、上年结转政府信息公开申请数量</w:t>
            </w:r>
          </w:p>
        </w:tc>
        <w:tc>
          <w:tcPr>
            <w:tcW w:w="630" w:type="dxa"/>
            <w:tcBorders>
              <w:top w:val="single" w:color="000000" w:sz="8"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000000" w:sz="8"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single" w:color="000000" w:sz="8"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single" w:color="000000" w:sz="8"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single" w:color="000000" w:sz="8"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single" w:color="000000" w:sz="8"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single" w:color="000000" w:sz="8"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三、本年度办理结果</w:t>
            </w:r>
          </w:p>
        </w:tc>
        <w:tc>
          <w:tcPr>
            <w:tcW w:w="2996"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（一）予以公开</w:t>
            </w:r>
          </w:p>
        </w:tc>
        <w:tc>
          <w:tcPr>
            <w:tcW w:w="6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2996"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（二）部分公开（区分处理的，只计这一情形，不计其他情形）</w:t>
            </w:r>
          </w:p>
        </w:tc>
        <w:tc>
          <w:tcPr>
            <w:tcW w:w="6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975"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（三）不予公开</w:t>
            </w:r>
          </w:p>
        </w:tc>
        <w:tc>
          <w:tcPr>
            <w:tcW w:w="202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1.属于国家秘密</w:t>
            </w:r>
          </w:p>
        </w:tc>
        <w:tc>
          <w:tcPr>
            <w:tcW w:w="6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202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2.其他法律行政法规禁止公开</w:t>
            </w:r>
          </w:p>
        </w:tc>
        <w:tc>
          <w:tcPr>
            <w:tcW w:w="6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8" w:space="0"/>
              <w:left w:val="single" w:color="auto" w:sz="8" w:space="0"/>
              <w:bottom w:val="single" w:color="auto" w:sz="4"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nil"/>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nil"/>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nil"/>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nil"/>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nil"/>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202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3.危及“三安全一稳定”</w:t>
            </w:r>
          </w:p>
        </w:tc>
        <w:tc>
          <w:tcPr>
            <w:tcW w:w="630" w:type="dxa"/>
            <w:tcBorders>
              <w:top w:val="single" w:color="auto" w:sz="8" w:space="0"/>
              <w:left w:val="single" w:color="auto" w:sz="8" w:space="0"/>
              <w:bottom w:val="single" w:color="auto" w:sz="8" w:space="0"/>
              <w:right w:val="single" w:color="auto" w:sz="4"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4" w:space="0"/>
              <w:left w:val="single" w:color="auto" w:sz="4" w:space="0"/>
              <w:bottom w:val="single" w:color="auto" w:sz="4"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single" w:color="auto" w:sz="4" w:space="0"/>
              <w:left w:val="nil"/>
              <w:bottom w:val="single" w:color="auto" w:sz="4" w:space="0"/>
              <w:right w:val="single" w:color="auto" w:sz="4"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202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4.保护第三方合法权益</w:t>
            </w:r>
          </w:p>
        </w:tc>
        <w:tc>
          <w:tcPr>
            <w:tcW w:w="6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4" w:space="0"/>
              <w:left w:val="single" w:color="auto" w:sz="8" w:space="0"/>
              <w:bottom w:val="single" w:color="auto" w:sz="4"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202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5.属于三类内部事务信息</w:t>
            </w:r>
          </w:p>
        </w:tc>
        <w:tc>
          <w:tcPr>
            <w:tcW w:w="630" w:type="dxa"/>
            <w:tcBorders>
              <w:top w:val="single" w:color="auto" w:sz="8" w:space="0"/>
              <w:left w:val="single" w:color="auto" w:sz="8" w:space="0"/>
              <w:bottom w:val="single" w:color="auto" w:sz="8" w:space="0"/>
              <w:right w:val="single" w:color="auto" w:sz="4"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4" w:space="0"/>
              <w:left w:val="single" w:color="auto" w:sz="4" w:space="0"/>
              <w:bottom w:val="single" w:color="auto" w:sz="4"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single" w:color="auto" w:sz="4" w:space="0"/>
              <w:left w:val="nil"/>
              <w:bottom w:val="single" w:color="auto" w:sz="4" w:space="0"/>
              <w:right w:val="single" w:color="auto" w:sz="4"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202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6.属于四类过程性信息</w:t>
            </w:r>
          </w:p>
        </w:tc>
        <w:tc>
          <w:tcPr>
            <w:tcW w:w="6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4"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single" w:color="auto" w:sz="4"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single" w:color="auto" w:sz="4"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single" w:color="auto" w:sz="4"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single" w:color="auto" w:sz="4"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single" w:color="auto" w:sz="4"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202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7.属于行政执法案卷</w:t>
            </w:r>
          </w:p>
        </w:tc>
        <w:tc>
          <w:tcPr>
            <w:tcW w:w="6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202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8.属于行政查询事项</w:t>
            </w:r>
          </w:p>
        </w:tc>
        <w:tc>
          <w:tcPr>
            <w:tcW w:w="6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975"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（四）无法提供</w:t>
            </w:r>
          </w:p>
        </w:tc>
        <w:tc>
          <w:tcPr>
            <w:tcW w:w="202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1.本机关不掌握相关政府信息</w:t>
            </w:r>
          </w:p>
        </w:tc>
        <w:tc>
          <w:tcPr>
            <w:tcW w:w="6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202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2.没有现成信息需要另行制作</w:t>
            </w:r>
          </w:p>
        </w:tc>
        <w:tc>
          <w:tcPr>
            <w:tcW w:w="6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202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3.补正后申请内容仍不明确</w:t>
            </w:r>
          </w:p>
        </w:tc>
        <w:tc>
          <w:tcPr>
            <w:tcW w:w="6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975"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（五）不予处理</w:t>
            </w:r>
          </w:p>
        </w:tc>
        <w:tc>
          <w:tcPr>
            <w:tcW w:w="202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1.信访举报投诉类申请</w:t>
            </w:r>
          </w:p>
        </w:tc>
        <w:tc>
          <w:tcPr>
            <w:tcW w:w="6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202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2.重复申请</w:t>
            </w:r>
          </w:p>
        </w:tc>
        <w:tc>
          <w:tcPr>
            <w:tcW w:w="6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202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3.要求提供公开出版物</w:t>
            </w:r>
          </w:p>
        </w:tc>
        <w:tc>
          <w:tcPr>
            <w:tcW w:w="6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202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4.无正当理由大量反复申请</w:t>
            </w:r>
          </w:p>
        </w:tc>
        <w:tc>
          <w:tcPr>
            <w:tcW w:w="6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975" w:type="dxa"/>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2021"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5.要求行政机关确认或重新出具已获取信息</w:t>
            </w:r>
          </w:p>
        </w:tc>
        <w:tc>
          <w:tcPr>
            <w:tcW w:w="63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703" w:type="dxa"/>
            <w:vMerge w:val="continue"/>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2996" w:type="dxa"/>
            <w:gridSpan w:val="2"/>
            <w:tcBorders>
              <w:top w:val="nil"/>
              <w:left w:val="nil"/>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（六）其他处理</w:t>
            </w:r>
          </w:p>
        </w:tc>
        <w:tc>
          <w:tcPr>
            <w:tcW w:w="63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1703" w:type="dxa"/>
            <w:vMerge w:val="continue"/>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p>
        </w:tc>
        <w:tc>
          <w:tcPr>
            <w:tcW w:w="2996" w:type="dxa"/>
            <w:gridSpan w:val="2"/>
            <w:tcBorders>
              <w:top w:val="nil"/>
              <w:left w:val="nil"/>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（七）总计</w:t>
            </w:r>
          </w:p>
        </w:tc>
        <w:tc>
          <w:tcPr>
            <w:tcW w:w="63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99" w:type="dxa"/>
            <w:gridSpan w:val="3"/>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widowControl w:val="0"/>
              <w:spacing w:beforeLines="-2147483648" w:afterLines="-2147483648" w:line="400" w:lineRule="exact"/>
              <w:rPr>
                <w:rFonts w:hint="eastAsia" w:ascii="仿宋_GB2312" w:hAnsi="仿宋_GB2312" w:eastAsia="仿宋_GB2312" w:cs="仿宋_GB2312"/>
                <w:sz w:val="24"/>
                <w:szCs w:val="22"/>
                <w:lang w:val="en-US" w:eastAsia="zh-CN" w:bidi="ar-SA"/>
              </w:rPr>
            </w:pPr>
            <w:r>
              <w:rPr>
                <w:rFonts w:hint="eastAsia" w:ascii="仿宋_GB2312" w:hAnsi="仿宋_GB2312" w:eastAsia="仿宋_GB2312" w:cs="仿宋_GB2312"/>
                <w:sz w:val="24"/>
                <w:szCs w:val="22"/>
                <w:lang w:val="en-US" w:eastAsia="zh-CN" w:bidi="ar-SA"/>
              </w:rPr>
              <w:t>四、结转下年度继续办理</w:t>
            </w:r>
          </w:p>
        </w:tc>
        <w:tc>
          <w:tcPr>
            <w:tcW w:w="63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2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7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7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81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52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c>
          <w:tcPr>
            <w:tcW w:w="496"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rPr>
              <w:t>0</w:t>
            </w:r>
          </w:p>
        </w:tc>
      </w:tr>
    </w:tbl>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四、政府信息公开行政复议、行政诉讼情况</w:t>
      </w:r>
    </w:p>
    <w:tbl>
      <w:tblPr>
        <w:tblStyle w:val="4"/>
        <w:tblW w:w="90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行政复议</w:t>
            </w:r>
          </w:p>
        </w:tc>
        <w:tc>
          <w:tcPr>
            <w:tcW w:w="5997" w:type="dxa"/>
            <w:gridSpan w:val="10"/>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restart"/>
            <w:tcBorders>
              <w:top w:val="single" w:color="auto" w:sz="4" w:space="0"/>
              <w:left w:val="single" w:color="auto" w:sz="4" w:space="0"/>
              <w:bottom w:val="single" w:color="auto" w:sz="4"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结果维持</w:t>
            </w:r>
          </w:p>
        </w:tc>
        <w:tc>
          <w:tcPr>
            <w:tcW w:w="604" w:type="dxa"/>
            <w:vMerge w:val="restart"/>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结果纠正</w:t>
            </w:r>
          </w:p>
        </w:tc>
        <w:tc>
          <w:tcPr>
            <w:tcW w:w="604" w:type="dxa"/>
            <w:vMerge w:val="restart"/>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其他结果</w:t>
            </w:r>
          </w:p>
        </w:tc>
        <w:tc>
          <w:tcPr>
            <w:tcW w:w="604" w:type="dxa"/>
            <w:vMerge w:val="restart"/>
            <w:tcBorders>
              <w:top w:val="single" w:color="auto" w:sz="4" w:space="0"/>
              <w:left w:val="nil"/>
              <w:bottom w:val="single" w:color="auto" w:sz="4" w:space="0"/>
              <w:right w:val="single" w:color="auto" w:sz="4"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尚未审结</w:t>
            </w:r>
          </w:p>
        </w:tc>
        <w:tc>
          <w:tcPr>
            <w:tcW w:w="658" w:type="dxa"/>
            <w:vMerge w:val="restart"/>
            <w:tcBorders>
              <w:top w:val="single" w:color="auto" w:sz="8" w:space="0"/>
              <w:left w:val="single" w:color="auto" w:sz="4" w:space="0"/>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总计</w:t>
            </w:r>
          </w:p>
        </w:tc>
        <w:tc>
          <w:tcPr>
            <w:tcW w:w="2970" w:type="dxa"/>
            <w:gridSpan w:val="5"/>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未经复议直接起诉</w:t>
            </w:r>
          </w:p>
        </w:tc>
        <w:tc>
          <w:tcPr>
            <w:tcW w:w="3027" w:type="dxa"/>
            <w:gridSpan w:val="5"/>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single" w:color="auto" w:sz="4" w:space="0"/>
              <w:left w:val="single" w:color="auto" w:sz="4" w:space="0"/>
              <w:bottom w:val="single" w:color="auto" w:sz="4" w:space="0"/>
              <w:right w:val="single" w:color="auto" w:sz="8" w:space="0"/>
              <w:tl2br w:val="nil"/>
              <w:tr2bl w:val="nil"/>
            </w:tcBorders>
            <w:noWrap w:val="0"/>
            <w:tcMar>
              <w:left w:w="108" w:type="dxa"/>
              <w:right w:w="108" w:type="dxa"/>
            </w:tcMar>
            <w:vAlign w:val="center"/>
          </w:tcPr>
          <w:p>
            <w:pPr>
              <w:spacing w:beforeLines="0" w:afterLines="0"/>
              <w:rPr>
                <w:rFonts w:hint="eastAsia" w:ascii="仿宋_GB2312" w:hAnsi="仿宋_GB2312" w:eastAsia="仿宋_GB2312" w:cs="仿宋_GB2312"/>
                <w:color w:val="000000"/>
                <w:sz w:val="32"/>
                <w:szCs w:val="32"/>
              </w:rPr>
            </w:pPr>
          </w:p>
        </w:tc>
        <w:tc>
          <w:tcPr>
            <w:tcW w:w="604" w:type="dxa"/>
            <w:vMerge w:val="continue"/>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beforeLines="0" w:afterLines="0"/>
              <w:rPr>
                <w:rFonts w:hint="eastAsia" w:ascii="仿宋_GB2312" w:hAnsi="仿宋_GB2312" w:eastAsia="仿宋_GB2312" w:cs="仿宋_GB2312"/>
                <w:color w:val="000000"/>
                <w:sz w:val="32"/>
                <w:szCs w:val="32"/>
              </w:rPr>
            </w:pPr>
          </w:p>
        </w:tc>
        <w:tc>
          <w:tcPr>
            <w:tcW w:w="604" w:type="dxa"/>
            <w:vMerge w:val="continue"/>
            <w:tcBorders>
              <w:top w:val="single" w:color="auto" w:sz="4" w:space="0"/>
              <w:left w:val="nil"/>
              <w:bottom w:val="single" w:color="auto" w:sz="4" w:space="0"/>
              <w:right w:val="single" w:color="auto" w:sz="8" w:space="0"/>
              <w:tl2br w:val="nil"/>
              <w:tr2bl w:val="nil"/>
            </w:tcBorders>
            <w:noWrap w:val="0"/>
            <w:tcMar>
              <w:left w:w="108" w:type="dxa"/>
              <w:right w:w="108" w:type="dxa"/>
            </w:tcMar>
            <w:vAlign w:val="center"/>
          </w:tcPr>
          <w:p>
            <w:pPr>
              <w:spacing w:beforeLines="0" w:afterLines="0"/>
              <w:rPr>
                <w:rFonts w:hint="eastAsia" w:ascii="仿宋_GB2312" w:hAnsi="仿宋_GB2312" w:eastAsia="仿宋_GB2312" w:cs="仿宋_GB2312"/>
                <w:color w:val="000000"/>
                <w:sz w:val="32"/>
                <w:szCs w:val="32"/>
              </w:rPr>
            </w:pPr>
          </w:p>
        </w:tc>
        <w:tc>
          <w:tcPr>
            <w:tcW w:w="604" w:type="dxa"/>
            <w:vMerge w:val="continue"/>
            <w:tcBorders>
              <w:top w:val="single" w:color="auto" w:sz="4" w:space="0"/>
              <w:left w:val="nil"/>
              <w:bottom w:val="single" w:color="auto" w:sz="4" w:space="0"/>
              <w:right w:val="single" w:color="auto" w:sz="4" w:space="0"/>
              <w:tl2br w:val="nil"/>
              <w:tr2bl w:val="nil"/>
            </w:tcBorders>
            <w:noWrap w:val="0"/>
            <w:tcMar>
              <w:left w:w="108" w:type="dxa"/>
              <w:right w:w="108" w:type="dxa"/>
            </w:tcMar>
            <w:vAlign w:val="center"/>
          </w:tcPr>
          <w:p>
            <w:pPr>
              <w:spacing w:beforeLines="0" w:afterLines="0"/>
              <w:rPr>
                <w:rFonts w:hint="eastAsia" w:ascii="仿宋_GB2312" w:hAnsi="仿宋_GB2312" w:eastAsia="仿宋_GB2312" w:cs="仿宋_GB2312"/>
                <w:color w:val="000000"/>
                <w:sz w:val="32"/>
                <w:szCs w:val="32"/>
              </w:rPr>
            </w:pPr>
          </w:p>
        </w:tc>
        <w:tc>
          <w:tcPr>
            <w:tcW w:w="658" w:type="dxa"/>
            <w:vMerge w:val="continue"/>
            <w:tcBorders>
              <w:top w:val="single" w:color="auto" w:sz="8" w:space="0"/>
              <w:left w:val="single" w:color="auto" w:sz="4" w:space="0"/>
              <w:bottom w:val="single" w:color="auto" w:sz="8" w:space="0"/>
              <w:right w:val="single" w:color="auto" w:sz="8" w:space="0"/>
              <w:tl2br w:val="nil"/>
              <w:tr2bl w:val="nil"/>
            </w:tcBorders>
            <w:noWrap w:val="0"/>
            <w:tcMar>
              <w:left w:w="108" w:type="dxa"/>
              <w:right w:w="108" w:type="dxa"/>
            </w:tcMar>
            <w:vAlign w:val="center"/>
          </w:tcPr>
          <w:p>
            <w:pPr>
              <w:spacing w:beforeLines="0" w:afterLines="0"/>
              <w:rPr>
                <w:rFonts w:hint="eastAsia" w:ascii="仿宋_GB2312" w:hAnsi="仿宋_GB2312" w:eastAsia="仿宋_GB2312" w:cs="仿宋_GB2312"/>
                <w:color w:val="000000"/>
                <w:sz w:val="32"/>
                <w:szCs w:val="32"/>
              </w:rPr>
            </w:pPr>
          </w:p>
        </w:tc>
        <w:tc>
          <w:tcPr>
            <w:tcW w:w="55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结果维持</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结果纠正</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其他结果</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尚未审结</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总计</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结果维持</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结果纠正</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其他结果</w:t>
            </w:r>
          </w:p>
        </w:tc>
        <w:tc>
          <w:tcPr>
            <w:tcW w:w="606"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尚未审结</w:t>
            </w:r>
          </w:p>
        </w:tc>
        <w:tc>
          <w:tcPr>
            <w:tcW w:w="606"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85" w:hRule="atLeast"/>
          <w:jc w:val="center"/>
        </w:trPr>
        <w:tc>
          <w:tcPr>
            <w:tcW w:w="604" w:type="dxa"/>
            <w:tcBorders>
              <w:top w:val="single" w:color="auto" w:sz="4"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sz w:val="24"/>
              </w:rPr>
              <w:t>0</w:t>
            </w:r>
          </w:p>
        </w:tc>
        <w:tc>
          <w:tcPr>
            <w:tcW w:w="604" w:type="dxa"/>
            <w:tcBorders>
              <w:top w:val="single" w:color="auto" w:sz="4"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sz w:val="24"/>
              </w:rPr>
              <w:t>0</w:t>
            </w:r>
          </w:p>
        </w:tc>
        <w:tc>
          <w:tcPr>
            <w:tcW w:w="604" w:type="dxa"/>
            <w:tcBorders>
              <w:top w:val="single" w:color="auto" w:sz="4"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sz w:val="24"/>
              </w:rPr>
              <w:t>0</w:t>
            </w:r>
          </w:p>
        </w:tc>
        <w:tc>
          <w:tcPr>
            <w:tcW w:w="604" w:type="dxa"/>
            <w:tcBorders>
              <w:top w:val="single" w:color="auto" w:sz="4" w:space="0"/>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sz w:val="24"/>
              </w:rPr>
              <w:t>0</w:t>
            </w:r>
          </w:p>
        </w:tc>
        <w:tc>
          <w:tcPr>
            <w:tcW w:w="658"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sz w:val="24"/>
              </w:rPr>
              <w:t>0</w:t>
            </w:r>
          </w:p>
        </w:tc>
        <w:tc>
          <w:tcPr>
            <w:tcW w:w="55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sz w:val="24"/>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sz w:val="24"/>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sz w:val="24"/>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sz w:val="24"/>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sz w:val="24"/>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sz w:val="24"/>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sz w:val="24"/>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sz w:val="24"/>
              </w:rPr>
              <w:t>0</w:t>
            </w:r>
          </w:p>
        </w:tc>
        <w:tc>
          <w:tcPr>
            <w:tcW w:w="606"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sz w:val="24"/>
              </w:rPr>
              <w:t>0</w:t>
            </w:r>
          </w:p>
        </w:tc>
        <w:tc>
          <w:tcPr>
            <w:tcW w:w="606"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line="40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sz w:val="24"/>
              </w:rPr>
              <w:t>0</w:t>
            </w:r>
          </w:p>
        </w:tc>
      </w:tr>
    </w:tbl>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both"/>
        <w:textAlignment w:val="auto"/>
        <w:rPr>
          <w:rFonts w:hint="eastAsia" w:ascii="黑体" w:hAnsi="黑体" w:eastAsia="黑体" w:cs="黑体"/>
          <w:b w:val="0"/>
          <w:bCs/>
          <w:color w:val="000000"/>
          <w:sz w:val="32"/>
          <w:szCs w:val="32"/>
        </w:rPr>
      </w:pP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宋体" w:hAnsi="宋体"/>
          <w:color w:val="000000"/>
          <w:sz w:val="24"/>
        </w:rPr>
      </w:pPr>
      <w:r>
        <w:rPr>
          <w:rFonts w:hint="eastAsia" w:ascii="黑体" w:hAnsi="黑体" w:eastAsia="黑体" w:cs="黑体"/>
          <w:b w:val="0"/>
          <w:bCs/>
          <w:color w:val="000000"/>
          <w:sz w:val="32"/>
          <w:szCs w:val="32"/>
        </w:rPr>
        <w:t>五、存在的主要问题及改进情况</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eastAsia="仿宋_GB2312"/>
          <w:sz w:val="32"/>
          <w:szCs w:val="32"/>
          <w:lang w:eastAsia="zh-CN"/>
        </w:rPr>
      </w:pPr>
      <w:r>
        <w:rPr>
          <w:rFonts w:ascii="仿宋_GB2312" w:eastAsia="仿宋_GB2312"/>
          <w:sz w:val="32"/>
          <w:szCs w:val="32"/>
        </w:rPr>
        <w:t>回顾</w:t>
      </w:r>
      <w:r>
        <w:rPr>
          <w:rFonts w:hint="eastAsia" w:ascii="仿宋_GB2312" w:eastAsia="仿宋_GB2312"/>
          <w:sz w:val="32"/>
          <w:szCs w:val="32"/>
        </w:rPr>
        <w:t>20</w:t>
      </w:r>
      <w:r>
        <w:rPr>
          <w:rFonts w:hint="eastAsia" w:ascii="仿宋_GB2312" w:eastAsia="仿宋_GB2312"/>
          <w:sz w:val="32"/>
          <w:szCs w:val="32"/>
          <w:lang w:val="en-US" w:eastAsia="zh-CN"/>
        </w:rPr>
        <w:t>20</w:t>
      </w:r>
      <w:r>
        <w:rPr>
          <w:rFonts w:ascii="仿宋_GB2312" w:eastAsia="仿宋_GB2312"/>
          <w:sz w:val="32"/>
          <w:szCs w:val="32"/>
        </w:rPr>
        <w:t>年政府信息公开工作，我街道主要存在以下问题</w:t>
      </w:r>
      <w:r>
        <w:rPr>
          <w:rFonts w:hint="eastAsia" w:ascii="仿宋_GB2312" w:eastAsia="仿宋_GB2312"/>
          <w:sz w:val="32"/>
          <w:szCs w:val="32"/>
          <w:lang w:eastAsia="zh-CN"/>
        </w:rPr>
        <w:t>：</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eastAsia="仿宋_GB2312"/>
          <w:sz w:val="32"/>
          <w:szCs w:val="32"/>
          <w:shd w:val="clear" w:color="auto" w:fill="auto"/>
          <w:lang w:eastAsia="zh-CN"/>
        </w:rPr>
      </w:pPr>
      <w:r>
        <w:rPr>
          <w:rFonts w:hint="eastAsia" w:ascii="仿宋_GB2312" w:eastAsia="仿宋_GB2312"/>
          <w:sz w:val="32"/>
          <w:szCs w:val="32"/>
          <w:shd w:val="clear" w:color="auto" w:fill="auto"/>
        </w:rPr>
        <w:t>一是</w:t>
      </w:r>
      <w:r>
        <w:rPr>
          <w:rFonts w:hint="eastAsia" w:ascii="仿宋_GB2312" w:eastAsia="仿宋_GB2312"/>
          <w:sz w:val="32"/>
          <w:szCs w:val="32"/>
          <w:shd w:val="clear" w:color="auto" w:fill="auto"/>
          <w:lang w:eastAsia="zh-CN"/>
        </w:rPr>
        <w:t>公众知晓率有待提高，</w:t>
      </w:r>
      <w:r>
        <w:rPr>
          <w:rFonts w:hint="eastAsia" w:ascii="仿宋_GB2312" w:eastAsia="仿宋_GB2312"/>
          <w:sz w:val="32"/>
          <w:szCs w:val="32"/>
          <w:shd w:val="clear" w:color="auto" w:fill="auto"/>
        </w:rPr>
        <w:t>街道主要通过网站、峰之语公众号等形式公开政府信息，</w:t>
      </w:r>
      <w:r>
        <w:rPr>
          <w:rFonts w:hint="eastAsia" w:ascii="仿宋_GB2312" w:eastAsia="仿宋_GB2312"/>
          <w:sz w:val="32"/>
          <w:szCs w:val="32"/>
          <w:shd w:val="clear" w:color="auto" w:fill="auto"/>
          <w:lang w:eastAsia="zh-CN"/>
        </w:rPr>
        <w:t>公众知晓率和参与度都不够高，公开渠道有待进一步拓宽。</w:t>
      </w:r>
      <w:r>
        <w:rPr>
          <w:rFonts w:hint="eastAsia" w:ascii="仿宋_GB2312" w:eastAsia="仿宋_GB2312"/>
          <w:sz w:val="32"/>
          <w:szCs w:val="32"/>
          <w:shd w:val="clear" w:color="auto" w:fill="auto"/>
        </w:rPr>
        <w:t>二是</w:t>
      </w:r>
      <w:r>
        <w:rPr>
          <w:rFonts w:hint="eastAsia" w:ascii="仿宋_GB2312" w:eastAsia="仿宋_GB2312"/>
          <w:sz w:val="32"/>
          <w:szCs w:val="32"/>
          <w:shd w:val="clear" w:color="auto" w:fill="auto"/>
          <w:lang w:eastAsia="zh-CN"/>
        </w:rPr>
        <w:t>信息公开与文件要求还存在一定差距，内容时效性和格式规范性有待提升，</w:t>
      </w:r>
      <w:r>
        <w:rPr>
          <w:rFonts w:hint="eastAsia" w:ascii="仿宋_GB2312" w:eastAsia="仿宋_GB2312"/>
          <w:sz w:val="32"/>
          <w:szCs w:val="32"/>
          <w:shd w:val="clear" w:color="auto" w:fill="auto"/>
        </w:rPr>
        <w:t>意见建议的反馈方面仍需加强。</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eastAsia="仿宋_GB2312"/>
          <w:sz w:val="32"/>
          <w:szCs w:val="32"/>
          <w:lang w:eastAsia="zh-CN"/>
        </w:rPr>
      </w:pPr>
      <w:r>
        <w:rPr>
          <w:rFonts w:hint="eastAsia" w:ascii="仿宋_GB2312" w:hAnsi="仿宋_GB2312" w:eastAsia="仿宋_GB2312" w:cs="仿宋_GB2312"/>
          <w:color w:val="000000"/>
          <w:sz w:val="32"/>
          <w:szCs w:val="32"/>
          <w:shd w:val="clear" w:color="auto" w:fill="auto"/>
        </w:rPr>
        <w:t>下</w:t>
      </w:r>
      <w:r>
        <w:rPr>
          <w:rFonts w:hint="eastAsia" w:ascii="仿宋_GB2312" w:hAnsi="仿宋_GB2312" w:eastAsia="仿宋_GB2312" w:cs="仿宋_GB2312"/>
          <w:color w:val="000000"/>
          <w:sz w:val="32"/>
          <w:szCs w:val="32"/>
        </w:rPr>
        <w:t>步改进措施：</w:t>
      </w:r>
      <w:r>
        <w:rPr>
          <w:rFonts w:hint="eastAsia" w:ascii="仿宋_GB2312" w:eastAsia="仿宋_GB2312"/>
          <w:sz w:val="32"/>
          <w:szCs w:val="32"/>
        </w:rPr>
        <w:t>一是</w:t>
      </w:r>
      <w:r>
        <w:rPr>
          <w:rFonts w:hint="eastAsia" w:ascii="仿宋_GB2312" w:eastAsia="仿宋_GB2312"/>
          <w:sz w:val="32"/>
          <w:szCs w:val="32"/>
          <w:lang w:eastAsia="zh-CN"/>
        </w:rPr>
        <w:t>优化</w:t>
      </w:r>
      <w:r>
        <w:rPr>
          <w:rFonts w:hint="eastAsia" w:ascii="仿宋_GB2312" w:eastAsia="仿宋_GB2312"/>
          <w:sz w:val="32"/>
          <w:szCs w:val="32"/>
        </w:rPr>
        <w:t>公开内容</w:t>
      </w:r>
      <w:r>
        <w:rPr>
          <w:rFonts w:hint="eastAsia" w:ascii="仿宋_GB2312" w:eastAsia="仿宋_GB2312"/>
          <w:sz w:val="32"/>
          <w:szCs w:val="32"/>
          <w:lang w:eastAsia="zh-CN"/>
        </w:rPr>
        <w:t>。</w:t>
      </w:r>
      <w:r>
        <w:rPr>
          <w:rFonts w:hint="eastAsia" w:ascii="仿宋_GB2312" w:hAnsi="仿宋_GB2312" w:eastAsia="仿宋_GB2312" w:cs="仿宋_GB2312"/>
          <w:color w:val="000000"/>
          <w:sz w:val="32"/>
          <w:szCs w:val="32"/>
        </w:rPr>
        <w:t>把人民群众普遍关心、涉及群众切身利益的内容</w:t>
      </w:r>
      <w:r>
        <w:rPr>
          <w:rFonts w:hint="eastAsia" w:ascii="仿宋_GB2312" w:hAnsi="仿宋_GB2312" w:eastAsia="仿宋_GB2312" w:cs="仿宋_GB2312"/>
          <w:color w:val="000000"/>
          <w:sz w:val="32"/>
          <w:szCs w:val="32"/>
          <w:lang w:eastAsia="zh-CN"/>
        </w:rPr>
        <w:t>，如</w:t>
      </w:r>
      <w:r>
        <w:rPr>
          <w:rFonts w:hint="eastAsia" w:ascii="仿宋_GB2312" w:hAnsi="仿宋_GB2312" w:eastAsia="仿宋_GB2312" w:cs="仿宋_GB2312"/>
          <w:color w:val="000000"/>
          <w:sz w:val="32"/>
          <w:szCs w:val="32"/>
        </w:rPr>
        <w:t>医疗卫生、劳动就业、城乡建设等方面</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作为</w:t>
      </w:r>
      <w:r>
        <w:rPr>
          <w:rFonts w:hint="eastAsia" w:ascii="仿宋_GB2312" w:hAnsi="仿宋_GB2312" w:eastAsia="仿宋_GB2312" w:cs="仿宋_GB2312"/>
          <w:color w:val="000000"/>
          <w:sz w:val="32"/>
          <w:szCs w:val="32"/>
          <w:lang w:eastAsia="zh-CN"/>
        </w:rPr>
        <w:t>信息</w:t>
      </w:r>
      <w:r>
        <w:rPr>
          <w:rFonts w:hint="eastAsia" w:ascii="仿宋_GB2312" w:hAnsi="仿宋_GB2312" w:eastAsia="仿宋_GB2312" w:cs="仿宋_GB2312"/>
          <w:color w:val="000000"/>
          <w:sz w:val="32"/>
          <w:szCs w:val="32"/>
        </w:rPr>
        <w:t>公开工作</w:t>
      </w:r>
      <w:r>
        <w:rPr>
          <w:rFonts w:hint="eastAsia" w:ascii="仿宋_GB2312" w:hAnsi="仿宋_GB2312" w:eastAsia="仿宋_GB2312" w:cs="仿宋_GB2312"/>
          <w:color w:val="000000"/>
          <w:sz w:val="32"/>
          <w:szCs w:val="32"/>
          <w:lang w:eastAsia="zh-CN"/>
        </w:rPr>
        <w:t>的</w:t>
      </w:r>
      <w:r>
        <w:rPr>
          <w:rFonts w:hint="eastAsia" w:ascii="仿宋_GB2312" w:hAnsi="仿宋_GB2312" w:eastAsia="仿宋_GB2312" w:cs="仿宋_GB2312"/>
          <w:color w:val="000000"/>
          <w:sz w:val="32"/>
          <w:szCs w:val="32"/>
        </w:rPr>
        <w:t>重点抓紧抓实，</w:t>
      </w:r>
      <w:r>
        <w:rPr>
          <w:rFonts w:hint="eastAsia" w:ascii="仿宋_GB2312" w:hAnsi="仿宋_GB2312" w:eastAsia="仿宋_GB2312" w:cs="仿宋_GB2312"/>
          <w:color w:val="000000"/>
          <w:sz w:val="32"/>
          <w:szCs w:val="32"/>
          <w:lang w:eastAsia="zh-CN"/>
        </w:rPr>
        <w:t>提升</w:t>
      </w:r>
      <w:r>
        <w:rPr>
          <w:rFonts w:hint="eastAsia" w:ascii="仿宋_GB2312" w:hAnsi="仿宋_GB2312" w:eastAsia="仿宋_GB2312" w:cs="仿宋_GB2312"/>
          <w:color w:val="000000"/>
          <w:sz w:val="32"/>
          <w:szCs w:val="32"/>
        </w:rPr>
        <w:t>政府信息公开的</w:t>
      </w:r>
      <w:r>
        <w:rPr>
          <w:rFonts w:hint="eastAsia" w:ascii="仿宋_GB2312" w:hAnsi="仿宋_GB2312" w:eastAsia="仿宋_GB2312" w:cs="仿宋_GB2312"/>
          <w:color w:val="000000"/>
          <w:sz w:val="32"/>
          <w:szCs w:val="32"/>
          <w:lang w:eastAsia="zh-CN"/>
        </w:rPr>
        <w:t>广度和</w:t>
      </w:r>
      <w:r>
        <w:rPr>
          <w:rFonts w:hint="eastAsia" w:ascii="仿宋_GB2312" w:hAnsi="仿宋_GB2312" w:eastAsia="仿宋_GB2312" w:cs="仿宋_GB2312"/>
          <w:color w:val="000000"/>
          <w:sz w:val="32"/>
          <w:szCs w:val="32"/>
        </w:rPr>
        <w:t>深度。</w:t>
      </w:r>
      <w:r>
        <w:rPr>
          <w:rFonts w:hint="eastAsia" w:ascii="仿宋_GB2312" w:hAnsi="仿宋_GB2312" w:eastAsia="仿宋_GB2312" w:cs="仿宋_GB2312"/>
          <w:color w:val="000000"/>
          <w:sz w:val="32"/>
          <w:szCs w:val="32"/>
          <w:lang w:eastAsia="zh-CN"/>
        </w:rPr>
        <w:t>二是加强宣传力度。在</w:t>
      </w:r>
      <w:r>
        <w:rPr>
          <w:rFonts w:hint="eastAsia" w:ascii="仿宋_GB2312" w:eastAsia="仿宋_GB2312"/>
          <w:sz w:val="32"/>
          <w:szCs w:val="32"/>
          <w:lang w:eastAsia="zh-CN"/>
        </w:rPr>
        <w:t>高质量抓好网站和峰之语公众号两大信息公开阵地的同时，发挥好便民服务中心宣传栏的作用，并</w:t>
      </w:r>
      <w:r>
        <w:rPr>
          <w:rFonts w:hint="eastAsia" w:ascii="仿宋_GB2312" w:eastAsia="仿宋_GB2312"/>
          <w:sz w:val="32"/>
          <w:szCs w:val="32"/>
        </w:rPr>
        <w:t>积极与</w:t>
      </w:r>
      <w:r>
        <w:rPr>
          <w:rFonts w:hint="eastAsia" w:ascii="仿宋_GB2312" w:eastAsia="仿宋_GB2312"/>
          <w:sz w:val="32"/>
          <w:szCs w:val="32"/>
          <w:lang w:eastAsia="zh-CN"/>
        </w:rPr>
        <w:t>浙江新闻客户端</w:t>
      </w:r>
      <w:r>
        <w:rPr>
          <w:rFonts w:hint="eastAsia" w:ascii="仿宋_GB2312" w:eastAsia="仿宋_GB2312"/>
          <w:sz w:val="32"/>
          <w:szCs w:val="32"/>
        </w:rPr>
        <w:t>等单位合作</w:t>
      </w:r>
      <w:r>
        <w:rPr>
          <w:rFonts w:hint="eastAsia" w:ascii="仿宋_GB2312" w:eastAsia="仿宋_GB2312"/>
          <w:sz w:val="32"/>
          <w:szCs w:val="32"/>
          <w:lang w:eastAsia="zh-CN"/>
        </w:rPr>
        <w:t>，拓宽公开渠道，提升公众参与度。三是提升业务水平。多组织相关工作人员进行学习、培训，增强责任意识，提高业务水平，把好信息公开质量关。</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六、其他需要报告的事项</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eastAsia="仿宋_GB2312"/>
          <w:sz w:val="32"/>
          <w:szCs w:val="32"/>
        </w:rPr>
      </w:pPr>
      <w:r>
        <w:rPr>
          <w:rFonts w:hint="eastAsia" w:ascii="仿宋_GB2312" w:eastAsia="仿宋_GB2312"/>
          <w:sz w:val="32"/>
          <w:szCs w:val="32"/>
        </w:rPr>
        <w:t>本年度无其他需要报告的事项。</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eastAsia="仿宋_GB2312"/>
          <w:sz w:val="32"/>
          <w:szCs w:val="32"/>
        </w:rPr>
      </w:pP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eastAsia="仿宋_GB2312"/>
          <w:sz w:val="32"/>
          <w:szCs w:val="32"/>
        </w:rPr>
      </w:pP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eastAsia="仿宋_GB2312"/>
          <w:sz w:val="32"/>
          <w:szCs w:val="32"/>
        </w:rPr>
      </w:pPr>
    </w:p>
    <w:p>
      <w:pPr>
        <w:spacing w:line="560" w:lineRule="exact"/>
        <w:jc w:val="right"/>
        <w:rPr>
          <w:rFonts w:hint="eastAsia" w:ascii="仿宋_GB2312" w:eastAsia="仿宋_GB2312"/>
          <w:sz w:val="32"/>
          <w:szCs w:val="32"/>
        </w:rPr>
      </w:pPr>
      <w:r>
        <w:rPr>
          <w:rFonts w:hint="eastAsia" w:ascii="仿宋_GB2312" w:eastAsia="仿宋_GB2312"/>
          <w:sz w:val="32"/>
          <w:szCs w:val="32"/>
        </w:rPr>
        <w:t>宁波市北仑区白峰街道办事处</w:t>
      </w:r>
    </w:p>
    <w:p>
      <w:pPr>
        <w:spacing w:line="560" w:lineRule="exact"/>
        <w:jc w:val="right"/>
        <w:rPr>
          <w:rFonts w:hint="eastAsia"/>
        </w:rPr>
      </w:pP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年1月</w:t>
      </w:r>
      <w:r>
        <w:rPr>
          <w:rFonts w:hint="eastAsia" w:ascii="仿宋_GB2312" w:eastAsia="仿宋_GB2312"/>
          <w:sz w:val="32"/>
          <w:szCs w:val="32"/>
          <w:lang w:val="en-US" w:eastAsia="zh-CN"/>
        </w:rPr>
        <w:t>11</w:t>
      </w:r>
      <w:r>
        <w:rPr>
          <w:rFonts w:hint="eastAsia" w:ascii="仿宋_GB2312" w:eastAsia="仿宋_GB2312"/>
          <w:sz w:val="32"/>
          <w:szCs w:val="32"/>
        </w:rPr>
        <w:t>日</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eastAsia="仿宋_GB2312"/>
          <w:sz w:val="32"/>
          <w:szCs w:val="32"/>
        </w:rPr>
      </w:pPr>
    </w:p>
    <w:sectPr>
      <w:footerReference r:id="rId3" w:type="default"/>
      <w:pgSz w:w="11906" w:h="16838"/>
      <w:pgMar w:top="1871" w:right="1531" w:bottom="1531" w:left="1531" w:header="851" w:footer="1417" w:gutter="0"/>
      <w:pgBorders>
        <w:top w:val="none" w:sz="0" w:space="0"/>
        <w:left w:val="none" w:sz="0" w:space="0"/>
        <w:bottom w:val="none" w:sz="0" w:space="0"/>
        <w:right w:val="none" w:sz="0" w:space="0"/>
      </w:pgBorders>
      <w:pgNumType w:fmt="numberInDash" w:start="2"/>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aePyQxoCAAAhBAAADgAA&#10;AAAAAAABACAAAAAfAQAAZHJzL2Uyb0RvYy54bWxQSwUGAAAAAAYABgBZAQAAqwU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EB010D"/>
    <w:rsid w:val="04DD1BE6"/>
    <w:rsid w:val="05425A4E"/>
    <w:rsid w:val="0A956E7B"/>
    <w:rsid w:val="120F65AC"/>
    <w:rsid w:val="14AE2409"/>
    <w:rsid w:val="163C47EB"/>
    <w:rsid w:val="192317A0"/>
    <w:rsid w:val="1B8E0068"/>
    <w:rsid w:val="1CA70788"/>
    <w:rsid w:val="2515270D"/>
    <w:rsid w:val="267528B7"/>
    <w:rsid w:val="273B6884"/>
    <w:rsid w:val="2F0D7913"/>
    <w:rsid w:val="37EA6DDF"/>
    <w:rsid w:val="3A87007F"/>
    <w:rsid w:val="3B510410"/>
    <w:rsid w:val="40D44C34"/>
    <w:rsid w:val="45317C39"/>
    <w:rsid w:val="460F19BA"/>
    <w:rsid w:val="4CA179C7"/>
    <w:rsid w:val="4CB928E2"/>
    <w:rsid w:val="4D0F00B1"/>
    <w:rsid w:val="4EEF42B1"/>
    <w:rsid w:val="53504DE6"/>
    <w:rsid w:val="56B30342"/>
    <w:rsid w:val="57C33150"/>
    <w:rsid w:val="62BE6693"/>
    <w:rsid w:val="655524F3"/>
    <w:rsid w:val="6D7A0C39"/>
    <w:rsid w:val="6ECB7A85"/>
    <w:rsid w:val="6FAC6824"/>
    <w:rsid w:val="722A1AF9"/>
    <w:rsid w:val="76BF0052"/>
    <w:rsid w:val="78EB010D"/>
    <w:rsid w:val="7A270B3B"/>
    <w:rsid w:val="7E091D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spacing w:beforeLines="0" w:afterLines="0"/>
      <w:jc w:val="both"/>
    </w:pPr>
    <w:rPr>
      <w:rFonts w:hint="default" w:ascii="Times New Roman" w:hAnsi="Times New Roman" w:eastAsia="宋体" w:cs="Times New Roman"/>
      <w:kern w:val="2"/>
      <w:sz w:val="21"/>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qFormat/>
    <w:uiPriority w:val="0"/>
    <w:pPr>
      <w:tabs>
        <w:tab w:val="center" w:pos="4153"/>
        <w:tab w:val="right" w:pos="8306"/>
      </w:tabs>
      <w:snapToGrid w:val="0"/>
      <w:spacing w:beforeLines="0" w:afterLines="0"/>
      <w:jc w:val="left"/>
    </w:pPr>
    <w:rPr>
      <w:rFonts w:hint="default" w:ascii="Times New Roman" w:hAnsi="Times New Roman" w:eastAsia="宋体" w:cs="Times New Roman"/>
      <w:kern w:val="2"/>
      <w:sz w:val="18"/>
    </w:rPr>
  </w:style>
  <w:style w:type="paragraph" w:styleId="3">
    <w:name w:val="Normal (Web)"/>
    <w:basedOn w:val="1"/>
    <w:unhideWhenUsed/>
    <w:qFormat/>
    <w:uiPriority w:val="99"/>
    <w:pPr>
      <w:spacing w:before="100" w:beforeLines="0" w:beforeAutospacing="1" w:after="100" w:afterLines="0" w:afterAutospacing="1"/>
      <w:jc w:val="left"/>
    </w:pPr>
    <w:rPr>
      <w:rFonts w:hint="default" w:ascii="Times New Roman" w:hAnsi="Times New Roman" w:eastAsia="宋体" w:cs="Times New Roman"/>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Office_11.1.0.10026_F1E327BC-269C-435d-A152-05C5408002CA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2021-01-08T02:04:00Z</dcterms:created>
  <dc:creator>Administrator</dc:creator>
  <cp:lastModifiedBy>Administrator</cp:lastModifiedBy>
  <dcterms:modified xsi:type="dcterms:W3CDTF">2021-01-20T06:12:34Z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2052-11.1.0.10026</vt:lpwstr>
  </property>
</Properties>
</file>