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22</w:t>
      </w:r>
      <w:r>
        <w:rPr>
          <w:rFonts w:hint="eastAsia" w:ascii="方正小标宋简体" w:hAnsi="方正小标宋简体" w:eastAsia="方正小标宋简体" w:cs="方正小标宋简体"/>
          <w:sz w:val="44"/>
          <w:szCs w:val="44"/>
        </w:rPr>
        <w:t>年度北仑区供销合作社联合社</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方正小标宋简体" w:hAnsi="方正小标宋简体" w:eastAsia="方正小标宋简体" w:cs="方正小标宋简体"/>
          <w:sz w:val="32"/>
          <w:szCs w:val="32"/>
        </w:rPr>
      </w:pPr>
    </w:p>
    <w:p>
      <w:pPr>
        <w:pStyle w:val="4"/>
        <w:keepNext w:val="0"/>
        <w:keepLines w:val="0"/>
        <w:widowControl/>
        <w:suppressLineNumbers w:val="0"/>
        <w:spacing w:before="0" w:beforeAutospacing="0" w:after="0" w:afterAutospacing="0" w:line="420" w:lineRule="atLeast"/>
        <w:ind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shd w:val="clear" w:color="auto" w:fill="FFFFFF"/>
        </w:rPr>
        <w:t>根据</w:t>
      </w:r>
      <w:r>
        <w:rPr>
          <w:rFonts w:hint="eastAsia" w:ascii="仿宋_GB2312" w:hAnsi="仿宋_GB2312" w:eastAsia="仿宋_GB2312" w:cs="仿宋_GB2312"/>
          <w:color w:val="auto"/>
          <w:sz w:val="32"/>
          <w:szCs w:val="32"/>
          <w:shd w:val="clear" w:color="auto" w:fill="FFFFFF"/>
          <w:lang w:eastAsia="zh-CN"/>
        </w:rPr>
        <w:t>新修订的</w:t>
      </w:r>
      <w:r>
        <w:rPr>
          <w:rFonts w:hint="eastAsia" w:ascii="仿宋_GB2312" w:hAnsi="仿宋_GB2312" w:eastAsia="仿宋_GB2312" w:cs="仿宋_GB2312"/>
          <w:color w:val="auto"/>
          <w:sz w:val="32"/>
          <w:szCs w:val="32"/>
          <w:shd w:val="clear" w:color="auto" w:fill="FFFFFF"/>
        </w:rPr>
        <w:t>《中华人民共和国政府信息公开条例》</w:t>
      </w:r>
      <w:r>
        <w:rPr>
          <w:rFonts w:hint="eastAsia" w:ascii="仿宋_GB2312" w:hAnsi="仿宋_GB2312" w:eastAsia="仿宋_GB2312" w:cs="仿宋_GB2312"/>
          <w:color w:val="auto"/>
          <w:sz w:val="32"/>
          <w:szCs w:val="32"/>
          <w:shd w:val="clear" w:color="auto" w:fill="FFFFFF"/>
          <w:lang w:eastAsia="zh-CN"/>
        </w:rPr>
        <w:t>规定</w:t>
      </w:r>
      <w:r>
        <w:rPr>
          <w:rFonts w:hint="eastAsia" w:ascii="仿宋_GB2312" w:hAnsi="仿宋_GB2312" w:eastAsia="仿宋_GB2312" w:cs="仿宋_GB2312"/>
          <w:color w:val="auto"/>
          <w:sz w:val="32"/>
          <w:szCs w:val="32"/>
          <w:shd w:val="clear" w:color="auto" w:fill="FFFFFF"/>
        </w:rPr>
        <w:t>和《</w:t>
      </w:r>
      <w:r>
        <w:rPr>
          <w:rFonts w:hint="eastAsia" w:ascii="仿宋_GB2312" w:hAnsi="仿宋_GB2312" w:eastAsia="仿宋_GB2312" w:cs="仿宋_GB2312"/>
          <w:color w:val="auto"/>
          <w:sz w:val="32"/>
          <w:szCs w:val="32"/>
          <w:shd w:val="clear" w:color="auto" w:fill="FFFFFF"/>
          <w:lang w:eastAsia="zh-CN"/>
        </w:rPr>
        <w:t>国务院办公厅政府信息与政务公开办公室关于印发中华人民共和国政府信息公开工作年度报告格式的通知</w:t>
      </w: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lang w:eastAsia="zh-CN"/>
        </w:rPr>
        <w:t>（国办公开办函﹝</w:t>
      </w:r>
      <w:r>
        <w:rPr>
          <w:rFonts w:hint="eastAsia" w:ascii="仿宋_GB2312" w:hAnsi="仿宋_GB2312" w:eastAsia="仿宋_GB2312" w:cs="仿宋_GB2312"/>
          <w:color w:val="auto"/>
          <w:sz w:val="32"/>
          <w:szCs w:val="32"/>
          <w:shd w:val="clear" w:color="auto" w:fill="FFFFFF"/>
          <w:lang w:val="en-US" w:eastAsia="zh-CN"/>
        </w:rPr>
        <w:t>2021</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30号</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要求，</w:t>
      </w:r>
      <w:r>
        <w:rPr>
          <w:rFonts w:hint="eastAsia" w:ascii="仿宋_GB2312" w:hAnsi="仿宋_GB2312" w:eastAsia="仿宋_GB2312" w:cs="仿宋_GB2312"/>
          <w:color w:val="auto"/>
          <w:sz w:val="32"/>
          <w:szCs w:val="32"/>
          <w:shd w:val="clear" w:color="auto" w:fill="FFFFFF"/>
          <w:lang w:eastAsia="zh-CN"/>
        </w:rPr>
        <w:t>本单位不断创新监督方式</w:t>
      </w:r>
      <w:r>
        <w:rPr>
          <w:rFonts w:hint="eastAsia" w:ascii="仿宋_GB2312" w:hAnsi="仿宋_GB2312" w:eastAsia="仿宋_GB2312" w:cs="仿宋_GB2312"/>
          <w:color w:val="auto"/>
          <w:sz w:val="32"/>
          <w:szCs w:val="32"/>
          <w:shd w:val="clear" w:color="auto" w:fill="FFFFFF"/>
          <w:lang w:val="en-US" w:eastAsia="zh-CN"/>
        </w:rPr>
        <w:t>,提升政务公开工作水平。</w:t>
      </w:r>
      <w:r>
        <w:rPr>
          <w:rFonts w:hint="eastAsia" w:ascii="仿宋_GB2312" w:hAnsi="仿宋_GB2312" w:eastAsia="仿宋_GB2312" w:cs="仿宋_GB2312"/>
          <w:color w:val="auto"/>
          <w:sz w:val="32"/>
          <w:szCs w:val="32"/>
          <w:shd w:val="clear" w:color="auto" w:fill="FFFFFF"/>
        </w:rPr>
        <w:t>现公布20</w:t>
      </w:r>
      <w:r>
        <w:rPr>
          <w:rFonts w:hint="eastAsia" w:ascii="仿宋_GB2312" w:hAnsi="仿宋_GB2312" w:eastAsia="仿宋_GB2312" w:cs="仿宋_GB2312"/>
          <w:color w:val="auto"/>
          <w:sz w:val="32"/>
          <w:szCs w:val="32"/>
          <w:shd w:val="clear" w:color="auto" w:fill="FFFFFF"/>
          <w:lang w:val="en-US" w:eastAsia="zh-CN"/>
        </w:rPr>
        <w:t>22</w:t>
      </w:r>
      <w:r>
        <w:rPr>
          <w:rFonts w:hint="eastAsia" w:ascii="仿宋_GB2312" w:hAnsi="仿宋_GB2312" w:eastAsia="仿宋_GB2312" w:cs="仿宋_GB2312"/>
          <w:color w:val="auto"/>
          <w:sz w:val="32"/>
          <w:szCs w:val="32"/>
          <w:shd w:val="clear" w:color="auto" w:fill="FFFFFF"/>
        </w:rPr>
        <w:t>年度北仑区供销合作社联合社政府信息公开工作年度报告</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本报告所列数据的统计期限自202</w:t>
      </w: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年1月1日起至12月31日止。</w:t>
      </w:r>
    </w:p>
    <w:p>
      <w:pPr>
        <w:pStyle w:val="4"/>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w:t>
      </w:r>
      <w:r>
        <w:rPr>
          <w:rFonts w:hint="eastAsia" w:ascii="黑体" w:hAnsi="黑体" w:eastAsia="黑体" w:cs="黑体"/>
          <w:b w:val="0"/>
          <w:bCs w:val="0"/>
          <w:sz w:val="32"/>
          <w:szCs w:val="32"/>
          <w:lang w:eastAsia="zh-CN"/>
        </w:rPr>
        <w:t>总体情况</w:t>
      </w:r>
    </w:p>
    <w:p>
      <w:pPr>
        <w:pStyle w:val="4"/>
        <w:keepNext w:val="0"/>
        <w:keepLines w:val="0"/>
        <w:widowControl/>
        <w:suppressLineNumbers w:val="0"/>
        <w:spacing w:before="0" w:beforeAutospacing="0" w:after="0" w:afterAutospacing="0" w:line="420" w:lineRule="atLeast"/>
        <w:ind w:left="0" w:right="0" w:firstLine="42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条例》的要求和区委、区政府的工作部署，本单位领导高度重视，不断强化日常管理，并持续推动此项工作的深入开展，确保政府信息及时主动公开。1-12月份本单位主动公开政府信息共42条。主动公开政府信息类别有机构概括、法规公文、工作信息、人事信息、财政信息等，</w:t>
      </w:r>
      <w:r>
        <w:rPr>
          <w:rFonts w:hint="eastAsia" w:ascii="仿宋_GB2312" w:hAnsi="仿宋_GB2312" w:eastAsia="仿宋_GB2312" w:cs="仿宋_GB2312"/>
          <w:sz w:val="32"/>
          <w:szCs w:val="32"/>
        </w:rPr>
        <w:t>具体信息可在“北仑政府信息公开网站”查阅。</w:t>
      </w:r>
    </w:p>
    <w:p>
      <w:pPr>
        <w:pStyle w:val="4"/>
        <w:keepNext w:val="0"/>
        <w:keepLines w:val="0"/>
        <w:widowControl/>
        <w:numPr>
          <w:ilvl w:val="0"/>
          <w:numId w:val="1"/>
        </w:numPr>
        <w:suppressLineNumbers w:val="0"/>
        <w:spacing w:before="0" w:beforeAutospacing="0" w:after="0" w:afterAutospacing="0" w:line="42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做好强农惠农政策信息。围绕政府工作报告、发展规划提出的重要事项，特别是区委、区政府部署的任务、民生举措，细化公开执行措施、实施步骤、监督方式等，实事求是公布进展和完成情况。</w:t>
      </w:r>
    </w:p>
    <w:p>
      <w:pPr>
        <w:pStyle w:val="4"/>
        <w:keepNext w:val="0"/>
        <w:keepLines w:val="0"/>
        <w:widowControl/>
        <w:numPr>
          <w:ilvl w:val="0"/>
          <w:numId w:val="1"/>
        </w:numPr>
        <w:suppressLineNumbers w:val="0"/>
        <w:spacing w:before="0" w:beforeAutospacing="0" w:after="0" w:afterAutospacing="0" w:line="42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及时公开涉农领域、区社重要工作信息。</w:t>
      </w:r>
      <w:r>
        <w:rPr>
          <w:rFonts w:hint="eastAsia" w:ascii="仿宋_GB2312" w:hAnsi="仿宋_GB2312" w:eastAsia="仿宋_GB2312" w:cs="仿宋_GB2312"/>
          <w:sz w:val="32"/>
          <w:szCs w:val="32"/>
          <w:lang w:val="en-US" w:eastAsia="zh-CN"/>
        </w:rPr>
        <w:t>“三位一体”农合联改革工作政策、动态、成效；为农服务工作；加大乡村振兴政策文件的发布；其他日常工作及工作信息的发布。</w:t>
      </w:r>
    </w:p>
    <w:p>
      <w:pPr>
        <w:pStyle w:val="4"/>
        <w:keepNext w:val="0"/>
        <w:keepLines w:val="0"/>
        <w:widowControl/>
        <w:numPr>
          <w:ilvl w:val="0"/>
          <w:numId w:val="1"/>
        </w:numPr>
        <w:suppressLineNumbers w:val="0"/>
        <w:spacing w:before="0" w:beforeAutospacing="0" w:after="0" w:afterAutospacing="0" w:line="420" w:lineRule="atLeast"/>
        <w:ind w:left="0" w:right="0"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及时公开部门财政预决算信息。按时在区供销联社政务网站公布《北仑区供销合作社联合社</w:t>
      </w:r>
      <w:r>
        <w:rPr>
          <w:rFonts w:hint="eastAsia" w:ascii="仿宋_GB2312" w:hAnsi="仿宋_GB2312" w:eastAsia="仿宋_GB2312" w:cs="仿宋_GB2312"/>
          <w:sz w:val="32"/>
          <w:szCs w:val="32"/>
          <w:lang w:val="en-US" w:eastAsia="zh-CN"/>
        </w:rPr>
        <w:t>2022年部门预算</w:t>
      </w:r>
      <w:r>
        <w:rPr>
          <w:rFonts w:hint="eastAsia" w:ascii="仿宋_GB2312" w:hAnsi="仿宋_GB2312" w:eastAsia="仿宋_GB2312" w:cs="仿宋_GB2312"/>
          <w:sz w:val="32"/>
          <w:szCs w:val="32"/>
          <w:lang w:eastAsia="zh-CN"/>
        </w:rPr>
        <w:t>》和《北仑区供销合作社联合社</w:t>
      </w:r>
      <w:r>
        <w:rPr>
          <w:rFonts w:hint="eastAsia" w:ascii="仿宋_GB2312" w:hAnsi="仿宋_GB2312" w:eastAsia="仿宋_GB2312" w:cs="仿宋_GB2312"/>
          <w:sz w:val="32"/>
          <w:szCs w:val="32"/>
          <w:lang w:val="en-US" w:eastAsia="zh-CN"/>
        </w:rPr>
        <w:t>2022年部门决算</w:t>
      </w:r>
      <w:r>
        <w:rPr>
          <w:rFonts w:hint="eastAsia" w:ascii="仿宋_GB2312" w:hAnsi="仿宋_GB2312" w:eastAsia="仿宋_GB2312" w:cs="仿宋_GB2312"/>
          <w:sz w:val="32"/>
          <w:szCs w:val="32"/>
          <w:lang w:eastAsia="zh-CN"/>
        </w:rPr>
        <w:t>》，对部门“三公经费”预决算情况同期进行了公布，自觉接受社会监督。</w:t>
      </w:r>
    </w:p>
    <w:p>
      <w:pPr>
        <w:pStyle w:val="4"/>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sz w:val="30"/>
          <w:szCs w:val="30"/>
        </w:rPr>
      </w:pPr>
      <w:r>
        <w:rPr>
          <w:rFonts w:hint="eastAsia" w:ascii="黑体" w:hAnsi="黑体" w:eastAsia="黑体" w:cs="黑体"/>
          <w:b w:val="0"/>
          <w:bCs w:val="0"/>
          <w:sz w:val="32"/>
          <w:szCs w:val="32"/>
        </w:rPr>
        <w:t>二、主动公开政府信息的情况</w:t>
      </w:r>
    </w:p>
    <w:tbl>
      <w:tblPr>
        <w:tblStyle w:val="5"/>
        <w:tblW w:w="8533"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8"/>
        <w:gridCol w:w="2492"/>
        <w:gridCol w:w="2268"/>
        <w:gridCol w:w="1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3"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制发件数</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废止件数</w:t>
            </w:r>
          </w:p>
        </w:tc>
        <w:tc>
          <w:tcPr>
            <w:tcW w:w="1765"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规章</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1765"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1765" w:type="dxa"/>
            <w:noWrap w:val="0"/>
            <w:vAlign w:val="center"/>
          </w:tcPr>
          <w:p>
            <w:pPr>
              <w:jc w:val="center"/>
              <w:rPr>
                <w:rFonts w:hint="default"/>
                <w:lang w:val="en-US" w:eastAsia="zh-CN"/>
              </w:rPr>
            </w:pPr>
            <w:r>
              <w:rPr>
                <w:rFonts w:hint="eastAsia"/>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3"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行政许可</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3"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行政强制</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3"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0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行政事业性收费</w:t>
            </w:r>
          </w:p>
        </w:tc>
        <w:tc>
          <w:tcPr>
            <w:tcW w:w="6525"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pStyle w:val="4"/>
        <w:keepNext w:val="0"/>
        <w:keepLines w:val="0"/>
        <w:widowControl/>
        <w:suppressLineNumbers w:val="0"/>
        <w:spacing w:before="0" w:beforeAutospacing="0" w:after="0" w:afterAutospacing="0" w:line="420" w:lineRule="atLeast"/>
        <w:ind w:right="0"/>
        <w:rPr>
          <w:b/>
          <w:bCs/>
        </w:rPr>
      </w:pPr>
    </w:p>
    <w:p>
      <w:pPr>
        <w:pStyle w:val="4"/>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b w:val="0"/>
          <w:bCs w:val="0"/>
          <w:sz w:val="32"/>
          <w:szCs w:val="32"/>
        </w:rPr>
      </w:pPr>
      <w:r>
        <w:rPr>
          <w:rFonts w:hint="eastAsia" w:ascii="黑体" w:hAnsi="黑体" w:eastAsia="黑体" w:cs="黑体"/>
          <w:b w:val="0"/>
          <w:bCs w:val="0"/>
          <w:sz w:val="32"/>
          <w:szCs w:val="32"/>
        </w:rPr>
        <w:t>三、收到和处理政府信息公开申请情况</w:t>
      </w:r>
    </w:p>
    <w:tbl>
      <w:tblPr>
        <w:tblStyle w:val="5"/>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77"/>
        <w:gridCol w:w="1097"/>
        <w:gridCol w:w="1713"/>
        <w:gridCol w:w="757"/>
        <w:gridCol w:w="655"/>
        <w:gridCol w:w="655"/>
        <w:gridCol w:w="877"/>
        <w:gridCol w:w="737"/>
        <w:gridCol w:w="546"/>
        <w:gridCol w:w="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3787" w:type="dxa"/>
            <w:gridSpan w:val="3"/>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（本列数据的勾稽关系为：第一项加第二项之和，等于第三项加第四项之和）</w:t>
            </w:r>
          </w:p>
        </w:tc>
        <w:tc>
          <w:tcPr>
            <w:tcW w:w="4735" w:type="dxa"/>
            <w:gridSpan w:val="7"/>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3787" w:type="dxa"/>
            <w:gridSpan w:val="3"/>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75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自然人</w:t>
            </w:r>
          </w:p>
        </w:tc>
        <w:tc>
          <w:tcPr>
            <w:tcW w:w="3470"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法人或其他组织</w:t>
            </w:r>
          </w:p>
        </w:tc>
        <w:tc>
          <w:tcPr>
            <w:tcW w:w="50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68" w:hRule="atLeast"/>
          <w:jc w:val="center"/>
        </w:trPr>
        <w:tc>
          <w:tcPr>
            <w:tcW w:w="3787" w:type="dxa"/>
            <w:gridSpan w:val="3"/>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75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商业企业</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科研机构</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社会公益组织</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法律服务机构</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其他</w:t>
            </w:r>
          </w:p>
        </w:tc>
        <w:tc>
          <w:tcPr>
            <w:tcW w:w="50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jc w:val="center"/>
        </w:trPr>
        <w:tc>
          <w:tcPr>
            <w:tcW w:w="378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一、本年新收到政府信息公开申请数量</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07" w:hRule="atLeast"/>
          <w:jc w:val="center"/>
        </w:trPr>
        <w:tc>
          <w:tcPr>
            <w:tcW w:w="378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二、上年转结政府信息公开申请数量</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三、本年度办理结果</w:t>
            </w: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（一）予以公开</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10"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（二）部分公开（区分处理的，只计这一情形，不计其他情形）</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（三）不予公开</w:t>
            </w: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1.属于国家秘密</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2.其他法律行政法规禁止公开</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54"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3.危及“三安全一稳定”</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45"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4.保护第三方合法权益</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5.属于三类内部事务信息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61"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6.属于四类过程性信息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0"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7.属于行政执法案卷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02"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8.属于行政查询事项</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（四）无法提供</w:t>
            </w: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1.本机关不掌握相关政府信息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2.没有现成信息需要另行制作</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3.补正后申请内容仍不明确</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40"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（五）不予处理</w:t>
            </w: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1.信访举报投诉类申请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19"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2.重复申请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11"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3.要求提供公开出版物</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4.无正当理由大量反复申请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1"/>
                <w:szCs w:val="21"/>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5.要求行政机关确认或重新出具已获取信息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（六）其他处理</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9"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（七）总计</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2" w:hRule="atLeast"/>
          <w:jc w:val="center"/>
        </w:trPr>
        <w:tc>
          <w:tcPr>
            <w:tcW w:w="378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四、转结下年度继续办理</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sz w:val="21"/>
                <w:szCs w:val="21"/>
              </w:rPr>
              <w:t>0</w:t>
            </w:r>
          </w:p>
        </w:tc>
      </w:tr>
    </w:tbl>
    <w:p>
      <w:pPr>
        <w:pStyle w:val="4"/>
        <w:keepNext w:val="0"/>
        <w:keepLines w:val="0"/>
        <w:widowControl/>
        <w:suppressLineNumbers w:val="0"/>
        <w:spacing w:before="0" w:beforeAutospacing="0" w:after="0" w:afterAutospacing="0" w:line="420" w:lineRule="atLeast"/>
        <w:ind w:right="0"/>
        <w:rPr>
          <w:b/>
          <w:bCs/>
        </w:rPr>
      </w:pPr>
    </w:p>
    <w:p>
      <w:pPr>
        <w:pStyle w:val="4"/>
        <w:keepNext w:val="0"/>
        <w:keepLines w:val="0"/>
        <w:widowControl/>
        <w:suppressLineNumbers w:val="0"/>
        <w:spacing w:before="0" w:beforeAutospacing="0" w:after="0" w:afterAutospacing="0" w:line="420" w:lineRule="atLeast"/>
        <w:ind w:left="0" w:right="0" w:firstLine="420"/>
        <w:rPr>
          <w:b/>
          <w:bCs/>
        </w:rPr>
      </w:pPr>
      <w:r>
        <w:rPr>
          <w:rFonts w:hint="eastAsia" w:ascii="黑体" w:hAnsi="黑体" w:eastAsia="黑体" w:cs="黑体"/>
          <w:b w:val="0"/>
          <w:bCs w:val="0"/>
          <w:sz w:val="32"/>
          <w:szCs w:val="32"/>
        </w:rPr>
        <w:t>四、政府信息公开行政复议、行政诉讼情况</w:t>
      </w:r>
    </w:p>
    <w:tbl>
      <w:tblPr>
        <w:tblStyle w:val="5"/>
        <w:tblW w:w="82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53"/>
        <w:gridCol w:w="553"/>
        <w:gridCol w:w="553"/>
        <w:gridCol w:w="553"/>
        <w:gridCol w:w="553"/>
        <w:gridCol w:w="553"/>
        <w:gridCol w:w="553"/>
        <w:gridCol w:w="553"/>
        <w:gridCol w:w="553"/>
        <w:gridCol w:w="553"/>
        <w:gridCol w:w="553"/>
        <w:gridCol w:w="553"/>
        <w:gridCol w:w="553"/>
        <w:gridCol w:w="553"/>
        <w:gridCol w:w="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765" w:type="dxa"/>
            <w:gridSpan w:val="5"/>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行政复议</w:t>
            </w:r>
          </w:p>
        </w:tc>
        <w:tc>
          <w:tcPr>
            <w:tcW w:w="5531" w:type="dxa"/>
            <w:gridSpan w:val="10"/>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2765" w:type="dxa"/>
            <w:gridSpan w:val="5"/>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765"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未经复议直接起诉</w:t>
            </w:r>
          </w:p>
        </w:tc>
        <w:tc>
          <w:tcPr>
            <w:tcW w:w="2766"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结果维持</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结果纠正</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其他结果</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尚未审结</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总计</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结果维持</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结果纠正</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其他结果</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尚未审结</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总计</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结果维持</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结果纠正</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其他结果</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尚未审结</w:t>
            </w:r>
          </w:p>
        </w:tc>
        <w:tc>
          <w:tcPr>
            <w:tcW w:w="55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0" w:hRule="atLeast"/>
          <w:jc w:val="center"/>
        </w:trPr>
        <w:tc>
          <w:tcPr>
            <w:tcW w:w="55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bl>
    <w:p>
      <w:pPr>
        <w:pStyle w:val="4"/>
        <w:keepNext w:val="0"/>
        <w:keepLines w:val="0"/>
        <w:widowControl/>
        <w:suppressLineNumbers w:val="0"/>
        <w:spacing w:before="0" w:beforeAutospacing="0" w:after="0" w:afterAutospacing="0" w:line="420" w:lineRule="atLeast"/>
        <w:ind w:left="0" w:right="0"/>
      </w:pPr>
    </w:p>
    <w:p>
      <w:pPr>
        <w:pStyle w:val="4"/>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sz w:val="32"/>
          <w:szCs w:val="32"/>
          <w:lang w:eastAsia="zh-CN"/>
        </w:rPr>
      </w:pPr>
      <w:r>
        <w:rPr>
          <w:rFonts w:hint="eastAsia" w:ascii="黑体" w:hAnsi="黑体" w:eastAsia="黑体" w:cs="黑体"/>
          <w:sz w:val="32"/>
          <w:szCs w:val="32"/>
          <w:lang w:eastAsia="zh-CN"/>
        </w:rPr>
        <w:t>五、存在的主要问题及改进情况</w:t>
      </w:r>
    </w:p>
    <w:p>
      <w:pPr>
        <w:pStyle w:val="4"/>
        <w:keepNext w:val="0"/>
        <w:keepLines w:val="0"/>
        <w:widowControl/>
        <w:suppressLineNumbers w:val="0"/>
        <w:spacing w:before="0" w:beforeAutospacing="0" w:after="0" w:afterAutospacing="0" w:line="420" w:lineRule="atLeast"/>
        <w:ind w:righ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年，区</w:t>
      </w:r>
      <w:r>
        <w:rPr>
          <w:rFonts w:hint="eastAsia" w:ascii="仿宋_GB2312" w:hAnsi="仿宋_GB2312" w:eastAsia="仿宋_GB2312" w:cs="仿宋_GB2312"/>
          <w:sz w:val="32"/>
          <w:szCs w:val="32"/>
          <w:lang w:eastAsia="zh-CN"/>
        </w:rPr>
        <w:t>供销联社政府信息公开工作已形成规范化、制度化，</w:t>
      </w:r>
      <w:r>
        <w:rPr>
          <w:rFonts w:hint="eastAsia" w:ascii="仿宋_GB2312" w:hAnsi="仿宋_GB2312" w:eastAsia="仿宋_GB2312" w:cs="仿宋_GB2312"/>
          <w:sz w:val="32"/>
          <w:szCs w:val="32"/>
        </w:rPr>
        <w:t>但</w:t>
      </w:r>
      <w:r>
        <w:rPr>
          <w:rFonts w:hint="eastAsia" w:ascii="仿宋_GB2312" w:hAnsi="仿宋_GB2312" w:eastAsia="仿宋_GB2312" w:cs="仿宋_GB2312"/>
          <w:sz w:val="32"/>
          <w:szCs w:val="32"/>
          <w:lang w:eastAsia="zh-CN"/>
        </w:rPr>
        <w:t>仍</w:t>
      </w:r>
      <w:r>
        <w:rPr>
          <w:rFonts w:hint="eastAsia" w:ascii="仿宋_GB2312" w:hAnsi="仿宋_GB2312" w:eastAsia="仿宋_GB2312" w:cs="仿宋_GB2312"/>
          <w:sz w:val="32"/>
          <w:szCs w:val="32"/>
        </w:rPr>
        <w:t>存在不少问题和不足，对照上级的要求还有一定的差距。主要表现在：一是信息公开渠道及覆盖面还需进一步拓展；二是对政策解读还需进一步加强；三是政务信息公开的数量和质量还有待进一步提高。</w:t>
      </w:r>
    </w:p>
    <w:p>
      <w:pPr>
        <w:pStyle w:val="4"/>
        <w:keepNext w:val="0"/>
        <w:keepLines w:val="0"/>
        <w:widowControl/>
        <w:numPr>
          <w:ilvl w:val="0"/>
          <w:numId w:val="1"/>
        </w:numPr>
        <w:suppressLineNumbers w:val="0"/>
        <w:spacing w:before="0" w:beforeAutospacing="0" w:after="0" w:afterAutospacing="0" w:line="420" w:lineRule="atLeast"/>
        <w:ind w:left="0" w:leftChars="0" w:right="0" w:firstLine="42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我们将继续认真贯彻落实上级有关政务公开工作部署要求，加大信息宣传力度。一、结合区供销联社工作实际，进一步完善区社信息公开制度，明确政务公开各科室工作任务、责任分解和工作纪律，同时严格按领导文件签发意见进行政府信息公开，努力提升我社信息公开制度化、规范化水平。二、不断提高政府信息公开时效。按照“合法、全面、准确、及时”的要求公开政府信息，确保信息发布的时效性、完整性和真实性。三、加大对政务公开的监督检查力度，采取定期检查与随机抽查相结合的方法，督促检查工作落实和责任到位情况。四、</w:t>
      </w:r>
      <w:r>
        <w:rPr>
          <w:rFonts w:hint="eastAsia" w:ascii="仿宋_GB2312" w:hAnsi="仿宋_GB2312" w:eastAsia="仿宋_GB2312" w:cs="仿宋_GB2312"/>
          <w:sz w:val="32"/>
          <w:szCs w:val="32"/>
        </w:rPr>
        <w:t>切实加强教育和培训。积极参加区政府以及市供销社组织的各类关于信息公开及政务公开的培训，</w:t>
      </w:r>
      <w:r>
        <w:rPr>
          <w:rFonts w:hint="eastAsia" w:ascii="仿宋_GB2312" w:hAnsi="仿宋_GB2312" w:eastAsia="仿宋_GB2312" w:cs="仿宋_GB2312"/>
          <w:sz w:val="32"/>
          <w:szCs w:val="32"/>
          <w:lang w:eastAsia="zh-CN"/>
        </w:rPr>
        <w:t>并组织全体干部职工认真学习《条例》使广大干部职工对政府信息公开的主体和原则、范围和内容、方式和程序、监督和保障等有了明确的了解，能</w:t>
      </w:r>
      <w:r>
        <w:rPr>
          <w:rFonts w:hint="eastAsia" w:ascii="仿宋_GB2312" w:hAnsi="仿宋_GB2312" w:eastAsia="仿宋_GB2312" w:cs="仿宋_GB2312"/>
          <w:sz w:val="32"/>
          <w:szCs w:val="32"/>
        </w:rPr>
        <w:t>及时指出纠正存在问题。</w:t>
      </w:r>
    </w:p>
    <w:p>
      <w:pPr>
        <w:pStyle w:val="4"/>
        <w:keepNext w:val="0"/>
        <w:keepLines w:val="0"/>
        <w:widowControl/>
        <w:suppressLineNumbers w:val="0"/>
        <w:spacing w:before="0" w:beforeAutospacing="0" w:after="0" w:afterAutospacing="0" w:line="420" w:lineRule="atLeast"/>
        <w:ind w:left="0" w:right="0" w:firstLine="42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、其他需要报告的事项</w:t>
      </w:r>
    </w:p>
    <w:p>
      <w:pPr>
        <w:pStyle w:val="4"/>
        <w:keepNext w:val="0"/>
        <w:keepLines w:val="0"/>
        <w:widowControl/>
        <w:numPr>
          <w:ilvl w:val="0"/>
          <w:numId w:val="0"/>
        </w:numPr>
        <w:suppressLineNumbers w:val="0"/>
        <w:spacing w:before="0" w:beforeAutospacing="0" w:after="0" w:afterAutospacing="0" w:line="420" w:lineRule="atLeast"/>
        <w:ind w:right="0" w:righ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一年来未发生针对本部门有关政府信息公开事务的行政复议案及行政诉讼案，以及举报、投诉、泄密、信息公开应急事件等情况。</w:t>
      </w:r>
    </w:p>
    <w:p>
      <w:pPr>
        <w:pStyle w:val="4"/>
        <w:keepNext w:val="0"/>
        <w:keepLines w:val="0"/>
        <w:widowControl/>
        <w:suppressLineNumbers w:val="0"/>
        <w:spacing w:before="0" w:beforeAutospacing="0" w:after="0" w:afterAutospacing="0" w:line="420" w:lineRule="atLeast"/>
        <w:ind w:right="0"/>
        <w:jc w:val="both"/>
        <w:rPr>
          <w:rFonts w:hint="eastAsia" w:ascii="仿宋_GB2312" w:hAnsi="仿宋_GB2312" w:eastAsia="仿宋_GB2312" w:cs="仿宋_GB2312"/>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3B3BE0"/>
    <w:multiLevelType w:val="singleLevel"/>
    <w:tmpl w:val="DF3B3BE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hMGVhMmIzYTViYTZmNTA1MTRmMDE1ZGRkZDE4MmMifQ=="/>
  </w:docVars>
  <w:rsids>
    <w:rsidRoot w:val="00000000"/>
    <w:rsid w:val="010B3E39"/>
    <w:rsid w:val="01243887"/>
    <w:rsid w:val="05D1690A"/>
    <w:rsid w:val="0628623B"/>
    <w:rsid w:val="10111231"/>
    <w:rsid w:val="1445074D"/>
    <w:rsid w:val="18BB19F6"/>
    <w:rsid w:val="207C76B2"/>
    <w:rsid w:val="28D94FBA"/>
    <w:rsid w:val="2DA710BB"/>
    <w:rsid w:val="2F0C101F"/>
    <w:rsid w:val="2FCF4325"/>
    <w:rsid w:val="30FE333F"/>
    <w:rsid w:val="422E6787"/>
    <w:rsid w:val="43DC2CD2"/>
    <w:rsid w:val="442F13DF"/>
    <w:rsid w:val="461374FD"/>
    <w:rsid w:val="48894782"/>
    <w:rsid w:val="4D0170FD"/>
    <w:rsid w:val="51226393"/>
    <w:rsid w:val="55CC5F93"/>
    <w:rsid w:val="5C0D034C"/>
    <w:rsid w:val="5D43336D"/>
    <w:rsid w:val="60B27DE6"/>
    <w:rsid w:val="63204C0E"/>
    <w:rsid w:val="664410B9"/>
    <w:rsid w:val="742670B9"/>
    <w:rsid w:val="74EB648F"/>
    <w:rsid w:val="76E668BC"/>
    <w:rsid w:val="79D45BAD"/>
    <w:rsid w:val="79DD5290"/>
    <w:rsid w:val="7AD73F5E"/>
    <w:rsid w:val="7C9E5222"/>
    <w:rsid w:val="7F362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1975</Words>
  <Characters>2022</Characters>
  <Lines>0</Lines>
  <Paragraphs>0</Paragraphs>
  <TotalTime>0</TotalTime>
  <ScaleCrop>false</ScaleCrop>
  <LinksUpToDate>false</LinksUpToDate>
  <CharactersWithSpaces>2022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2023-01-17T02:00:29Z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EAF46E5201F34A56B5D4FF4EE24363A5</vt:lpwstr>
  </property>
</Properties>
</file>