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snapToGrid/>
        <w:spacing w:after="0"/>
        <w:jc w:val="center"/>
        <w:rPr>
          <w:rFonts w:ascii="宋体" w:hAnsi="宋体" w:eastAsia="宋体" w:cs="宋体"/>
          <w:color w:val="333333"/>
          <w:sz w:val="24"/>
          <w:szCs w:val="24"/>
        </w:rPr>
      </w:pPr>
      <w:r>
        <w:rPr>
          <w:rFonts w:hint="eastAsia" w:ascii="宋体" w:hAnsi="宋体" w:eastAsia="宋体" w:cs="宋体"/>
          <w:b/>
          <w:bCs/>
          <w:color w:val="333333"/>
          <w:sz w:val="36"/>
          <w:szCs w:val="36"/>
        </w:rPr>
        <w:t>2019年度戚家山街道政府信息公开工作年度报告</w:t>
      </w:r>
    </w:p>
    <w:p>
      <w:pPr>
        <w:shd w:val="clear" w:color="auto" w:fill="FFFFFF"/>
        <w:adjustRightInd/>
        <w:snapToGrid/>
        <w:spacing w:after="0"/>
        <w:ind w:firstLine="480"/>
        <w:jc w:val="both"/>
        <w:rPr>
          <w:rFonts w:ascii="宋体" w:hAnsi="宋体" w:eastAsia="宋体" w:cs="宋体"/>
          <w:color w:val="333333"/>
          <w:sz w:val="24"/>
          <w:szCs w:val="24"/>
        </w:rPr>
      </w:pPr>
      <w:r>
        <w:rPr>
          <w:rFonts w:hint="eastAsia" w:ascii="宋体" w:hAnsi="宋体" w:eastAsia="宋体" w:cs="宋体"/>
          <w:b/>
          <w:bCs/>
          <w:color w:val="333333"/>
          <w:sz w:val="24"/>
          <w:szCs w:val="24"/>
        </w:rPr>
        <w:t>一、总体情况</w:t>
      </w:r>
    </w:p>
    <w:p>
      <w:pPr>
        <w:pStyle w:val="2"/>
        <w:shd w:val="clear" w:color="auto" w:fill="FFFFFF"/>
        <w:spacing w:before="0" w:beforeAutospacing="0" w:after="0" w:afterAutospacing="0" w:line="480" w:lineRule="atLeast"/>
        <w:ind w:firstLine="460" w:firstLineChars="200"/>
        <w:jc w:val="both"/>
        <w:rPr>
          <w:rFonts w:ascii="微软雅黑" w:hAnsi="微软雅黑" w:eastAsia="微软雅黑"/>
          <w:color w:val="333333"/>
          <w:sz w:val="23"/>
          <w:szCs w:val="23"/>
        </w:rPr>
      </w:pPr>
      <w:r>
        <w:rPr>
          <w:rFonts w:hint="eastAsia" w:ascii="微软雅黑" w:hAnsi="微软雅黑" w:eastAsia="微软雅黑"/>
          <w:color w:val="333333"/>
          <w:sz w:val="23"/>
          <w:szCs w:val="23"/>
        </w:rPr>
        <w:t>2019年 ，戚家山街道紧紧围绕坚持政务公开透明，建设规范化服务型政府、提升机关行政效能的目标，把政府信息公开作为群众与政府沟通的重要桥梁和纽带，认真贯彻《中华人民共和国政府信息公开条例》的各项规定，从政府信息公开程序、措施、制度等各个环节落实好各方面的工作，使政府信息公开平台能够更好地服务于民，便捷于民。全年主要开展了以下几项工作：</w:t>
      </w:r>
    </w:p>
    <w:p>
      <w:pPr>
        <w:pStyle w:val="2"/>
        <w:shd w:val="clear" w:color="auto" w:fill="FFFFFF"/>
        <w:spacing w:before="0" w:beforeAutospacing="0" w:after="0" w:afterAutospacing="0" w:line="480" w:lineRule="atLeast"/>
        <w:ind w:firstLine="460" w:firstLineChars="200"/>
        <w:jc w:val="both"/>
        <w:rPr>
          <w:rFonts w:ascii="微软雅黑" w:hAnsi="微软雅黑" w:eastAsia="微软雅黑"/>
          <w:color w:val="333333"/>
          <w:sz w:val="23"/>
          <w:szCs w:val="23"/>
        </w:rPr>
      </w:pPr>
      <w:r>
        <w:rPr>
          <w:rFonts w:hint="eastAsia" w:ascii="微软雅黑" w:hAnsi="微软雅黑" w:eastAsia="微软雅黑"/>
          <w:color w:val="333333"/>
          <w:sz w:val="23"/>
          <w:szCs w:val="23"/>
        </w:rPr>
        <w:t>（一）加强组织领导。建立政务公开领导小组，设置街道党政办公室作为编制、协调、督查、收集整理各科室的常设机构，将政务公开责任细化，按照街道科室设置层层落实责任。指派专人进行政务公开信息收集，各科室落实指定一名工作人员，负责本科室政府信息公开收集整理。定期召开信息公开负责人联系会议，上报政务公开工作进度，形成各司其职，各负其责，上下联动，左右联通，分工协作，步调一致的整体运行格局。</w:t>
      </w:r>
    </w:p>
    <w:p>
      <w:pPr>
        <w:pStyle w:val="2"/>
        <w:shd w:val="clear" w:color="auto" w:fill="FFFFFF"/>
        <w:spacing w:before="0" w:beforeAutospacing="0" w:after="0" w:afterAutospacing="0" w:line="480" w:lineRule="atLeast"/>
        <w:ind w:firstLine="460" w:firstLineChars="200"/>
        <w:jc w:val="both"/>
        <w:rPr>
          <w:rFonts w:ascii="微软雅黑" w:hAnsi="微软雅黑" w:eastAsia="微软雅黑"/>
          <w:color w:val="333333"/>
          <w:sz w:val="23"/>
          <w:szCs w:val="23"/>
        </w:rPr>
      </w:pPr>
      <w:r>
        <w:rPr>
          <w:rFonts w:hint="eastAsia" w:ascii="微软雅黑" w:hAnsi="微软雅黑" w:eastAsia="微软雅黑"/>
          <w:color w:val="333333"/>
          <w:sz w:val="23"/>
          <w:szCs w:val="23"/>
        </w:rPr>
        <w:t>（二）严格日常管理。一是加强政务公开各项规定的学习。定期组织信息公开负责人以及各部门人员集中培训，学习相关法规、制度、文件，重点学习《中华人民共和国政府信息公开条例》、《宁波市北仑区关于违反政府信息公开规定行为的责任追究规定》等规章制度和每季度第三方信息公开平台检测报告，进一步提高政务信息公开工作人员业务素养。二是强化政务公开服务。街道按照区府办统一要求，对照《北仑区政府信息公开系统操作手册》，逐条逐项查找政务公开错误，按照要求及时进行整改。及时更新戚家山街道政府信息公开指南和目录，确保公开指南和目录符合相关规定，更高效地为公民、法人或其他组织提供服务。三是及时做好政府信息收集工作。街道按照区府办规定的时间及时进行各部门的政务信息收集更新，收集的内容包括机构概况、法律公文、工作信息等7大类主动公开信息和25项重点公开内容。</w:t>
      </w:r>
    </w:p>
    <w:p>
      <w:pPr>
        <w:pStyle w:val="2"/>
        <w:shd w:val="clear" w:color="auto" w:fill="FFFFFF"/>
        <w:spacing w:before="0" w:beforeAutospacing="0" w:after="0" w:afterAutospacing="0" w:line="480" w:lineRule="atLeast"/>
        <w:ind w:firstLine="460" w:firstLineChars="200"/>
        <w:jc w:val="both"/>
        <w:rPr>
          <w:rFonts w:ascii="微软雅黑" w:hAnsi="微软雅黑" w:eastAsia="微软雅黑"/>
          <w:color w:val="333333"/>
          <w:sz w:val="23"/>
          <w:szCs w:val="23"/>
        </w:rPr>
      </w:pPr>
      <w:r>
        <w:rPr>
          <w:rFonts w:hint="eastAsia" w:ascii="微软雅黑" w:hAnsi="微软雅黑" w:eastAsia="微软雅黑"/>
          <w:color w:val="333333"/>
          <w:sz w:val="23"/>
          <w:szCs w:val="23"/>
        </w:rPr>
        <w:t>（三）规范公开程序。一是按照“政府信息以公开为原则，不公开为例外”的总体要求，严格落实主动公开制度、审核制度、依申请公开制度等制度。明确依申请公开申请受理、审查、处理、答复等各个环节的具体要求，对群众提出的政务公开申请，于7个工作日内予以回复。二是健全政务公开工作机制。落实《北仑区政府信息公开实施细则》，对政府信息公开工作职责、公开内容、公开程序进行明确要求和详尽规范，努力推进政务公开实现制度化、规范化、系统化。</w:t>
      </w:r>
    </w:p>
    <w:p>
      <w:pPr>
        <w:pStyle w:val="2"/>
        <w:shd w:val="clear" w:color="auto" w:fill="FFFFFF"/>
        <w:spacing w:before="0" w:beforeAutospacing="0" w:after="0" w:afterAutospacing="0" w:line="480" w:lineRule="atLeast"/>
        <w:ind w:firstLine="460" w:firstLineChars="200"/>
        <w:jc w:val="both"/>
        <w:rPr>
          <w:rFonts w:ascii="微软雅黑" w:hAnsi="微软雅黑" w:eastAsia="微软雅黑"/>
          <w:color w:val="333333"/>
          <w:sz w:val="23"/>
          <w:szCs w:val="23"/>
        </w:rPr>
      </w:pPr>
      <w:r>
        <w:rPr>
          <w:rFonts w:hint="eastAsia" w:ascii="微软雅黑" w:hAnsi="微软雅黑" w:eastAsia="微软雅黑"/>
          <w:color w:val="333333"/>
          <w:sz w:val="23"/>
          <w:szCs w:val="23"/>
        </w:rPr>
        <w:t>（四）拓宽公开载体。按照便利、实用、有效的原则，创新政务公开的载体和形式，使政务公开和政府信息公开工作的形式呈现灵活多样，积极完善丰富街道门户网站，在网站的内容和功能上下功夫，及时更新，及时公开。努力将网站建设为政务公开和政府信息公开工作的第一媒体、第一窗口。今年以来，街道在浙江卫视和浙江新闻APP、宁波日报、北仑新区时刊和北仑之窗等各类报刊和官网发表新闻报道930余篇，在“今日戚家山”微信和“北仑戚家山”微博等本级媒体上，累计共发布信息1040余条。</w:t>
      </w:r>
    </w:p>
    <w:p>
      <w:pPr>
        <w:shd w:val="clear" w:color="auto" w:fill="FFFFFF"/>
        <w:adjustRightInd/>
        <w:snapToGrid/>
        <w:spacing w:after="240"/>
        <w:ind w:firstLine="480"/>
        <w:jc w:val="both"/>
        <w:rPr>
          <w:rFonts w:ascii="宋体" w:hAnsi="宋体" w:eastAsia="宋体" w:cs="宋体"/>
          <w:color w:val="333333"/>
          <w:sz w:val="24"/>
          <w:szCs w:val="24"/>
        </w:rPr>
      </w:pPr>
      <w:r>
        <w:rPr>
          <w:rFonts w:hint="eastAsia" w:ascii="宋体" w:hAnsi="宋体" w:eastAsia="宋体" w:cs="宋体"/>
          <w:b/>
          <w:bCs/>
          <w:color w:val="333333"/>
          <w:sz w:val="24"/>
          <w:szCs w:val="24"/>
        </w:rPr>
        <w:t>二、主动公开政府信息情况</w:t>
      </w:r>
    </w:p>
    <w:tbl>
      <w:tblPr>
        <w:tblStyle w:val="3"/>
        <w:tblW w:w="8140" w:type="dxa"/>
        <w:jc w:val="center"/>
        <w:tblInd w:w="0" w:type="dxa"/>
        <w:tblLayout w:type="fixed"/>
        <w:tblCellMar>
          <w:top w:w="0" w:type="dxa"/>
          <w:left w:w="0" w:type="dxa"/>
          <w:bottom w:w="0" w:type="dxa"/>
          <w:right w:w="0" w:type="dxa"/>
        </w:tblCellMar>
      </w:tblPr>
      <w:tblGrid>
        <w:gridCol w:w="3113"/>
        <w:gridCol w:w="1875"/>
        <w:gridCol w:w="6"/>
        <w:gridCol w:w="1265"/>
        <w:gridCol w:w="1881"/>
      </w:tblGrid>
      <w:tr>
        <w:tblPrEx>
          <w:tblLayout w:type="fixed"/>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第二十条第（一）项</w:t>
            </w:r>
          </w:p>
        </w:tc>
      </w:tr>
      <w:tr>
        <w:tblPrEx>
          <w:tblLayout w:type="fixed"/>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本年新</w:t>
            </w:r>
            <w:r>
              <w:rPr>
                <w:rFonts w:hint="eastAsia" w:ascii="宋体" w:hAnsi="宋体" w:eastAsia="宋体" w:cs="宋体"/>
                <w:color w:val="000000"/>
                <w:sz w:val="20"/>
                <w:szCs w:val="20"/>
              </w:rPr>
              <w:br w:type="textWrapping"/>
            </w:r>
            <w:r>
              <w:rPr>
                <w:rFonts w:ascii="宋体" w:hAnsi="宋体" w:eastAsia="宋体" w:cs="宋体"/>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本年新</w:t>
            </w:r>
            <w:r>
              <w:rPr>
                <w:rFonts w:hint="eastAsia" w:ascii="宋体" w:hAnsi="宋体" w:eastAsia="宋体" w:cs="宋体"/>
                <w:color w:val="000000"/>
                <w:sz w:val="20"/>
                <w:szCs w:val="20"/>
              </w:rPr>
              <w:br w:type="textWrapping"/>
            </w:r>
            <w:r>
              <w:rPr>
                <w:rFonts w:ascii="宋体" w:hAnsi="宋体" w:eastAsia="宋体" w:cs="宋体"/>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对外公开总数量</w:t>
            </w:r>
          </w:p>
        </w:tc>
      </w:tr>
      <w:tr>
        <w:tblPrEx>
          <w:tblLayout w:type="fixed"/>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r>
      <w:tr>
        <w:tblPrEx>
          <w:tblLayout w:type="fixed"/>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r>
      <w:tr>
        <w:tblPrEx>
          <w:tblLayout w:type="fixed"/>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第二十条第（五）项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处理决定数量</w:t>
            </w:r>
          </w:p>
        </w:tc>
      </w:tr>
      <w:tr>
        <w:tblPrEx>
          <w:tblLayout w:type="fixed"/>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r>
      <w:tr>
        <w:tblPrEx>
          <w:tblLayout w:type="fixed"/>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r>
      <w:tr>
        <w:tblPrEx>
          <w:tblLayout w:type="fixed"/>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第二十条第（六）项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处理决定数量</w:t>
            </w:r>
          </w:p>
        </w:tc>
      </w:tr>
      <w:tr>
        <w:tblPrEx>
          <w:tblLayout w:type="fixed"/>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r>
      <w:tr>
        <w:tblPrEx>
          <w:tblLayout w:type="fixed"/>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r>
      <w:tr>
        <w:tblPrEx>
          <w:tblLayout w:type="fixed"/>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第二十条第（八）项</w:t>
            </w:r>
          </w:p>
        </w:tc>
      </w:tr>
      <w:tr>
        <w:tblPrEx>
          <w:tblLayout w:type="fixed"/>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本年增/减</w:t>
            </w:r>
          </w:p>
        </w:tc>
      </w:tr>
      <w:tr>
        <w:tblPrEx>
          <w:tblLayout w:type="fixed"/>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0 </w:t>
            </w:r>
          </w:p>
        </w:tc>
      </w:tr>
      <w:tr>
        <w:tblPrEx>
          <w:tblLayout w:type="fixed"/>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第二十条第（九）项</w:t>
            </w:r>
          </w:p>
        </w:tc>
      </w:tr>
      <w:tr>
        <w:tblPrEx>
          <w:tblLayout w:type="fixed"/>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采购总金额</w:t>
            </w:r>
          </w:p>
        </w:tc>
      </w:tr>
      <w:tr>
        <w:tblPrEx>
          <w:tblLayout w:type="fixed"/>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color w:val="000000"/>
                <w:sz w:val="20"/>
                <w:szCs w:val="20"/>
              </w:rPr>
              <w:t>　390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555727元</w:t>
            </w:r>
          </w:p>
        </w:tc>
      </w:tr>
    </w:tbl>
    <w:p>
      <w:pPr>
        <w:shd w:val="clear" w:color="auto" w:fill="FFFFFF"/>
        <w:adjustRightInd/>
        <w:snapToGrid/>
        <w:spacing w:after="0"/>
        <w:ind w:firstLine="480"/>
        <w:jc w:val="both"/>
        <w:rPr>
          <w:rFonts w:ascii="宋体" w:hAnsi="宋体" w:eastAsia="宋体" w:cs="宋体"/>
          <w:color w:val="333333"/>
          <w:sz w:val="24"/>
          <w:szCs w:val="24"/>
        </w:rPr>
      </w:pPr>
    </w:p>
    <w:p>
      <w:pPr>
        <w:shd w:val="clear" w:color="auto" w:fill="FFFFFF"/>
        <w:adjustRightInd/>
        <w:snapToGrid/>
        <w:spacing w:after="240"/>
        <w:ind w:firstLine="480"/>
        <w:jc w:val="both"/>
        <w:rPr>
          <w:rFonts w:ascii="宋体" w:hAnsi="宋体" w:eastAsia="宋体" w:cs="宋体"/>
          <w:color w:val="333333"/>
          <w:sz w:val="24"/>
          <w:szCs w:val="24"/>
        </w:rPr>
      </w:pPr>
      <w:r>
        <w:rPr>
          <w:rFonts w:hint="eastAsia" w:ascii="宋体" w:hAnsi="宋体" w:eastAsia="宋体" w:cs="宋体"/>
          <w:b/>
          <w:bCs/>
          <w:color w:val="333333"/>
          <w:sz w:val="24"/>
          <w:szCs w:val="24"/>
        </w:rPr>
        <w:t>三、收到和处理政府信息公开申请情况</w:t>
      </w:r>
    </w:p>
    <w:tbl>
      <w:tblPr>
        <w:tblStyle w:val="3"/>
        <w:tblW w:w="9071" w:type="dxa"/>
        <w:jc w:val="center"/>
        <w:tblInd w:w="0" w:type="dxa"/>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blPrEx>
          <w:tblLayout w:type="fixed"/>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申请人情况</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13"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自然人</w:t>
            </w:r>
          </w:p>
        </w:tc>
        <w:tc>
          <w:tcPr>
            <w:tcW w:w="400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总计</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13"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商业企业</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科研机构</w:t>
            </w:r>
          </w:p>
        </w:tc>
        <w:tc>
          <w:tcPr>
            <w:tcW w:w="8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社会公益组织</w:t>
            </w:r>
          </w:p>
        </w:tc>
        <w:tc>
          <w:tcPr>
            <w:tcW w:w="97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法律服务机构</w:t>
            </w:r>
          </w:p>
        </w:tc>
        <w:tc>
          <w:tcPr>
            <w:tcW w:w="71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sz w:val="20"/>
                <w:szCs w:val="20"/>
              </w:rPr>
              <w:t>一、本年新收政府信息公开申请数量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sz w:val="20"/>
                <w:szCs w:val="20"/>
              </w:rPr>
              <w:t>二、上年结转政府信息公开申请数量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0</w:t>
            </w:r>
            <w:r>
              <w:rPr>
                <w:rFonts w:ascii="Calibri" w:hAnsi="Calibri" w:eastAsia="宋体" w:cs="宋体"/>
                <w:sz w:val="20"/>
                <w:szCs w:val="20"/>
              </w:rPr>
              <w:t> </w:t>
            </w:r>
          </w:p>
        </w:tc>
      </w:tr>
      <w:tr>
        <w:tblPrEx>
          <w:tblLayout w:type="fixed"/>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（一）予以公开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1.属于国家秘密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2.其他法律行政法规禁止公开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 xml:space="preserve"> 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3.危及“三安全一稳定”</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4.保护第三方合法权益</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 xml:space="preserve"> 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5.属于三类内部事务信息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6.属于四类过程性信息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7.属于行政执法案卷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8.属于行政查询事项</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1.本机关不掌握相关政府信息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2.没有现成信息需要另行制作</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3.补正后申请内容仍不明确</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1.信访举报投诉类申请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2.重复申请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3.要求提供公开出版物</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4.无正当理由大量反复申请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85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5.要求行政机关确认或重新出具已获取信息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（六）其他处理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楷体" w:hAnsi="宋体" w:eastAsia="楷体" w:cs="宋体"/>
                <w:sz w:val="20"/>
                <w:szCs w:val="20"/>
              </w:rPr>
              <w:t>（七）总计</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r>
              <w:rPr>
                <w:rFonts w:hint="eastAsia" w:ascii="Calibri" w:hAnsi="Calibri" w:eastAsia="宋体" w:cs="宋体"/>
                <w:sz w:val="20"/>
                <w:szCs w:val="20"/>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sz w:val="20"/>
                <w:szCs w:val="20"/>
              </w:rPr>
              <w:t>四、结转下年度继续办理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ascii="Calibri" w:hAnsi="Calibri" w:eastAsia="宋体" w:cs="宋体"/>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ind w:firstLine="240" w:firstLineChars="100"/>
              <w:rPr>
                <w:rFonts w:ascii="宋体" w:hAnsi="宋体" w:eastAsia="宋体" w:cs="宋体"/>
                <w:sz w:val="24"/>
                <w:szCs w:val="24"/>
              </w:rPr>
            </w:pPr>
            <w:r>
              <w:rPr>
                <w:rFonts w:hint="eastAsia" w:ascii="宋体" w:hAnsi="宋体" w:eastAsia="宋体" w:cs="宋体"/>
                <w:sz w:val="24"/>
                <w:szCs w:val="24"/>
              </w:rPr>
              <w:t>0</w:t>
            </w:r>
          </w:p>
        </w:tc>
      </w:tr>
    </w:tbl>
    <w:p>
      <w:pPr>
        <w:shd w:val="clear" w:color="auto" w:fill="FFFFFF"/>
        <w:adjustRightInd/>
        <w:snapToGrid/>
        <w:spacing w:after="0"/>
        <w:ind w:firstLine="480"/>
        <w:jc w:val="both"/>
        <w:rPr>
          <w:rFonts w:ascii="宋体" w:hAnsi="宋体" w:eastAsia="宋体" w:cs="宋体"/>
          <w:color w:val="333333"/>
          <w:sz w:val="24"/>
          <w:szCs w:val="24"/>
        </w:rPr>
      </w:pPr>
    </w:p>
    <w:p>
      <w:pPr>
        <w:shd w:val="clear" w:color="auto" w:fill="FFFFFF"/>
        <w:adjustRightInd/>
        <w:snapToGrid/>
        <w:spacing w:after="0"/>
        <w:ind w:firstLine="480"/>
        <w:jc w:val="both"/>
        <w:rPr>
          <w:rFonts w:ascii="宋体" w:hAnsi="宋体" w:eastAsia="宋体" w:cs="宋体"/>
          <w:color w:val="333333"/>
          <w:sz w:val="24"/>
          <w:szCs w:val="24"/>
        </w:rPr>
      </w:pPr>
      <w:r>
        <w:rPr>
          <w:rFonts w:hint="eastAsia" w:ascii="宋体" w:hAnsi="宋体" w:eastAsia="宋体" w:cs="宋体"/>
          <w:b/>
          <w:bCs/>
          <w:color w:val="333333"/>
          <w:sz w:val="24"/>
          <w:szCs w:val="24"/>
        </w:rPr>
        <w:t>四、政府信息公开行政复议、行政诉讼情况</w:t>
      </w:r>
    </w:p>
    <w:p>
      <w:pPr>
        <w:shd w:val="clear" w:color="auto" w:fill="FFFFFF"/>
        <w:adjustRightInd/>
        <w:snapToGrid/>
        <w:spacing w:after="0"/>
        <w:ind w:firstLine="480"/>
        <w:jc w:val="both"/>
        <w:rPr>
          <w:rFonts w:ascii="宋体" w:hAnsi="宋体" w:eastAsia="宋体" w:cs="宋体"/>
          <w:color w:val="333333"/>
          <w:sz w:val="24"/>
          <w:szCs w:val="24"/>
        </w:rPr>
      </w:pPr>
    </w:p>
    <w:tbl>
      <w:tblPr>
        <w:tblStyle w:val="3"/>
        <w:tblW w:w="9071" w:type="dxa"/>
        <w:jc w:val="center"/>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行政诉讼</w:t>
            </w:r>
          </w:p>
        </w:tc>
      </w:tr>
      <w:tr>
        <w:tblPrEx>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复议后起诉</w:t>
            </w:r>
          </w:p>
        </w:tc>
      </w:tr>
      <w:tr>
        <w:tblPrEx>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604" w:type="dxa"/>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总计</w:t>
            </w:r>
          </w:p>
        </w:tc>
      </w:tr>
      <w:tr>
        <w:tblPrEx>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0</w:t>
            </w:r>
            <w:r>
              <w:rPr>
                <w:rFonts w:ascii="Calibri" w:hAnsi="Calibri" w:eastAsia="宋体" w:cs="宋体"/>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0</w:t>
            </w:r>
            <w:r>
              <w:rPr>
                <w:rFonts w:ascii="Calibri" w:hAnsi="Calibri" w:eastAsia="宋体" w:cs="宋体"/>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0</w:t>
            </w:r>
            <w:r>
              <w:rPr>
                <w:rFonts w:ascii="Calibri" w:hAnsi="Calibri" w:eastAsia="宋体" w:cs="宋体"/>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0</w:t>
            </w:r>
            <w:r>
              <w:rPr>
                <w:rFonts w:ascii="Calibri" w:hAnsi="Calibri" w:eastAsia="宋体" w:cs="宋体"/>
                <w:sz w:val="20"/>
                <w:szCs w:val="20"/>
              </w:rPr>
              <w:t> </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Calibri" w:hAnsi="Calibri" w:eastAsia="宋体" w:cs="宋体"/>
                <w:sz w:val="20"/>
                <w:szCs w:val="20"/>
              </w:rPr>
              <w:t>0</w:t>
            </w:r>
            <w:r>
              <w:rPr>
                <w:rFonts w:ascii="Calibri" w:hAnsi="Calibri" w:eastAsia="宋体" w:cs="宋体"/>
                <w:sz w:val="20"/>
                <w:szCs w:val="20"/>
              </w:rPr>
              <w:t> </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color w:val="000000"/>
                <w:sz w:val="20"/>
                <w:szCs w:val="20"/>
              </w:rPr>
              <w:t>0 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0"/>
                <w:szCs w:val="20"/>
              </w:rPr>
              <w:t>0 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0</w:t>
            </w:r>
          </w:p>
        </w:tc>
      </w:tr>
    </w:tbl>
    <w:p>
      <w:pPr>
        <w:shd w:val="clear" w:color="auto" w:fill="FFFFFF"/>
        <w:adjustRightInd/>
        <w:snapToGrid/>
        <w:spacing w:after="0"/>
        <w:jc w:val="center"/>
        <w:rPr>
          <w:rFonts w:ascii="宋体" w:hAnsi="宋体" w:eastAsia="宋体" w:cs="宋体"/>
          <w:color w:val="333333"/>
          <w:sz w:val="24"/>
          <w:szCs w:val="24"/>
        </w:rPr>
      </w:pPr>
    </w:p>
    <w:p>
      <w:pPr>
        <w:shd w:val="clear" w:color="auto" w:fill="FFFFFF"/>
        <w:adjustRightInd/>
        <w:snapToGrid/>
        <w:spacing w:after="0"/>
        <w:ind w:firstLine="480"/>
        <w:jc w:val="both"/>
        <w:rPr>
          <w:rFonts w:ascii="宋体" w:hAnsi="宋体" w:eastAsia="宋体" w:cs="宋体"/>
          <w:color w:val="333333"/>
          <w:sz w:val="24"/>
          <w:szCs w:val="24"/>
        </w:rPr>
      </w:pPr>
      <w:r>
        <w:rPr>
          <w:rFonts w:hint="eastAsia" w:ascii="宋体" w:hAnsi="宋体" w:eastAsia="宋体" w:cs="宋体"/>
          <w:b/>
          <w:bCs/>
          <w:color w:val="333333"/>
          <w:sz w:val="24"/>
          <w:szCs w:val="24"/>
        </w:rPr>
        <w:t>五、存在的主要问题及改进情况</w:t>
      </w:r>
    </w:p>
    <w:p>
      <w:pPr>
        <w:pStyle w:val="2"/>
        <w:shd w:val="clear" w:color="auto" w:fill="FFFFFF"/>
        <w:spacing w:before="0" w:beforeAutospacing="0" w:after="0" w:afterAutospacing="0" w:line="480" w:lineRule="atLeast"/>
        <w:ind w:firstLine="460" w:firstLineChars="200"/>
        <w:rPr>
          <w:rFonts w:ascii="微软雅黑" w:hAnsi="微软雅黑" w:eastAsia="微软雅黑"/>
          <w:color w:val="333333"/>
          <w:sz w:val="23"/>
          <w:szCs w:val="23"/>
        </w:rPr>
      </w:pPr>
      <w:r>
        <w:rPr>
          <w:rStyle w:val="5"/>
          <w:rFonts w:hint="eastAsia" w:ascii="微软雅黑" w:hAnsi="微软雅黑" w:eastAsia="微软雅黑"/>
          <w:color w:val="333333"/>
          <w:sz w:val="23"/>
          <w:szCs w:val="23"/>
        </w:rPr>
        <w:t> </w:t>
      </w:r>
      <w:r>
        <w:rPr>
          <w:rFonts w:hint="eastAsia" w:ascii="微软雅黑" w:hAnsi="微软雅黑" w:eastAsia="微软雅黑"/>
          <w:color w:val="333333"/>
          <w:sz w:val="23"/>
          <w:szCs w:val="23"/>
        </w:rPr>
        <w:t>（一）存在的问题</w:t>
      </w:r>
    </w:p>
    <w:p>
      <w:pPr>
        <w:pStyle w:val="2"/>
        <w:shd w:val="clear" w:color="auto" w:fill="FFFFFF"/>
        <w:spacing w:before="0" w:beforeAutospacing="0" w:after="0" w:afterAutospacing="0" w:line="480" w:lineRule="atLeast"/>
        <w:ind w:firstLine="460" w:firstLineChars="200"/>
        <w:rPr>
          <w:rFonts w:ascii="微软雅黑" w:hAnsi="微软雅黑" w:eastAsia="微软雅黑"/>
          <w:color w:val="333333"/>
          <w:sz w:val="23"/>
          <w:szCs w:val="23"/>
        </w:rPr>
      </w:pPr>
      <w:r>
        <w:rPr>
          <w:rFonts w:hint="eastAsia" w:ascii="微软雅黑" w:hAnsi="微软雅黑" w:eastAsia="微软雅黑"/>
          <w:color w:val="333333"/>
          <w:sz w:val="23"/>
          <w:szCs w:val="23"/>
        </w:rPr>
        <w:t>1。信息公开范围窄。当前，政府公开的信息大部分是公众知道的或不在意的信息,而与公众切身利益相关的信息却很少。</w:t>
      </w:r>
    </w:p>
    <w:p>
      <w:pPr>
        <w:pStyle w:val="2"/>
        <w:shd w:val="clear" w:color="auto" w:fill="FFFFFF"/>
        <w:spacing w:before="0" w:beforeAutospacing="0" w:after="0" w:afterAutospacing="0" w:line="480" w:lineRule="atLeast"/>
        <w:ind w:firstLine="460" w:firstLineChars="200"/>
        <w:rPr>
          <w:rFonts w:ascii="微软雅黑" w:hAnsi="微软雅黑" w:eastAsia="微软雅黑"/>
          <w:color w:val="333333"/>
          <w:sz w:val="23"/>
          <w:szCs w:val="23"/>
        </w:rPr>
      </w:pPr>
      <w:r>
        <w:rPr>
          <w:rFonts w:hint="eastAsia" w:ascii="微软雅黑" w:hAnsi="微软雅黑" w:eastAsia="微软雅黑"/>
          <w:color w:val="333333"/>
          <w:sz w:val="23"/>
          <w:szCs w:val="23"/>
        </w:rPr>
        <w:t>2．政务公开全员意识有待</w:t>
      </w:r>
      <w:r>
        <w:rPr>
          <w:rFonts w:hint="eastAsia" w:ascii="微软雅黑" w:hAnsi="微软雅黑" w:eastAsia="微软雅黑"/>
          <w:color w:val="333333"/>
          <w:sz w:val="23"/>
          <w:szCs w:val="23"/>
          <w:lang w:eastAsia="zh-CN"/>
        </w:rPr>
        <w:t>不足</w:t>
      </w:r>
      <w:r>
        <w:rPr>
          <w:rFonts w:hint="eastAsia" w:ascii="微软雅黑" w:hAnsi="微软雅黑" w:eastAsia="微软雅黑"/>
          <w:color w:val="333333"/>
          <w:sz w:val="23"/>
          <w:szCs w:val="23"/>
        </w:rPr>
        <w:t>。政务公开涉及政府工作的方方面面，需要全员参与，但一些干部职工仍抱有事不关己的工作心态，没有真正树立“政府信息以公开为原则，不公开为例外”的意识，政务公开制度落实不到位。</w:t>
      </w:r>
    </w:p>
    <w:p>
      <w:pPr>
        <w:pStyle w:val="2"/>
        <w:shd w:val="clear" w:color="auto" w:fill="FFFFFF"/>
        <w:spacing w:before="0" w:beforeAutospacing="0" w:after="0" w:afterAutospacing="0" w:line="480" w:lineRule="atLeast"/>
        <w:ind w:firstLine="460" w:firstLineChars="200"/>
        <w:rPr>
          <w:rFonts w:hint="eastAsia" w:ascii="微软雅黑" w:hAnsi="微软雅黑" w:eastAsia="微软雅黑"/>
          <w:color w:val="333333"/>
          <w:sz w:val="23"/>
          <w:szCs w:val="23"/>
        </w:rPr>
      </w:pPr>
      <w:r>
        <w:rPr>
          <w:rFonts w:hint="eastAsia" w:ascii="微软雅黑" w:hAnsi="微软雅黑" w:eastAsia="微软雅黑"/>
          <w:color w:val="333333"/>
          <w:sz w:val="23"/>
          <w:szCs w:val="23"/>
        </w:rPr>
        <w:t>3</w:t>
      </w:r>
      <w:r>
        <w:rPr>
          <w:rFonts w:hint="eastAsia" w:ascii="微软雅黑" w:hAnsi="微软雅黑" w:eastAsia="微软雅黑"/>
          <w:color w:val="333333"/>
          <w:sz w:val="23"/>
          <w:szCs w:val="23"/>
          <w:lang w:eastAsia="zh-CN"/>
        </w:rPr>
        <w:t>，</w:t>
      </w:r>
      <w:r>
        <w:rPr>
          <w:rFonts w:hint="eastAsia" w:ascii="微软雅黑" w:hAnsi="微软雅黑" w:eastAsia="微软雅黑"/>
          <w:color w:val="333333"/>
          <w:sz w:val="23"/>
          <w:szCs w:val="23"/>
        </w:rPr>
        <w:t>管理部门缺乏统一与协调。信息公开缺乏相应的管理部门以及统一的规划和部署，行政机关各部门之间在信息公开方面大多处于各自为政的状态，缺少统一性和协调性，公开形式及范围存在较大的差别。</w:t>
      </w:r>
    </w:p>
    <w:p>
      <w:pPr>
        <w:pStyle w:val="2"/>
        <w:shd w:val="clear" w:color="auto" w:fill="FFFFFF"/>
        <w:spacing w:before="0" w:beforeAutospacing="0" w:after="0" w:afterAutospacing="0" w:line="480" w:lineRule="atLeast"/>
        <w:ind w:firstLine="460" w:firstLineChars="200"/>
        <w:rPr>
          <w:rFonts w:hint="eastAsia" w:ascii="微软雅黑" w:hAnsi="微软雅黑" w:eastAsia="微软雅黑"/>
          <w:color w:val="333333"/>
          <w:sz w:val="23"/>
          <w:szCs w:val="23"/>
        </w:rPr>
      </w:pPr>
      <w:r>
        <w:rPr>
          <w:rFonts w:hint="eastAsia" w:ascii="微软雅黑" w:hAnsi="微软雅黑" w:eastAsia="微软雅黑"/>
          <w:color w:val="333333"/>
          <w:sz w:val="23"/>
          <w:szCs w:val="23"/>
        </w:rPr>
        <w:t>（二）改进措施</w:t>
      </w:r>
    </w:p>
    <w:p>
      <w:pPr>
        <w:pStyle w:val="2"/>
        <w:shd w:val="clear" w:color="auto" w:fill="FFFFFF"/>
        <w:spacing w:before="0" w:beforeAutospacing="0" w:after="0" w:afterAutospacing="0" w:line="480" w:lineRule="atLeast"/>
        <w:ind w:firstLine="460" w:firstLineChars="200"/>
        <w:rPr>
          <w:rFonts w:hint="eastAsia" w:ascii="微软雅黑" w:hAnsi="微软雅黑" w:eastAsia="微软雅黑"/>
          <w:color w:val="333333"/>
          <w:sz w:val="23"/>
          <w:szCs w:val="23"/>
          <w:lang w:val="en-US" w:eastAsia="zh-CN"/>
        </w:rPr>
      </w:pPr>
      <w:r>
        <w:rPr>
          <w:rFonts w:hint="eastAsia" w:ascii="微软雅黑" w:hAnsi="微软雅黑" w:eastAsia="微软雅黑"/>
          <w:color w:val="333333"/>
          <w:sz w:val="23"/>
          <w:szCs w:val="23"/>
          <w:lang w:val="en-US" w:eastAsia="zh-CN"/>
        </w:rPr>
        <w:t>1</w:t>
      </w:r>
      <w:r>
        <w:rPr>
          <w:rFonts w:hint="eastAsia" w:ascii="微软雅黑" w:hAnsi="微软雅黑" w:eastAsia="微软雅黑"/>
          <w:color w:val="333333"/>
          <w:sz w:val="23"/>
          <w:szCs w:val="23"/>
        </w:rPr>
        <w:t>．扩大信息公开的范围。对于政府信息的公开范围,应采取概括式加排除式的规定。并结合</w:t>
      </w:r>
      <w:r>
        <w:rPr>
          <w:rFonts w:hint="eastAsia" w:ascii="微软雅黑" w:hAnsi="微软雅黑" w:eastAsia="微软雅黑"/>
          <w:color w:val="333333"/>
          <w:sz w:val="23"/>
          <w:szCs w:val="23"/>
          <w:lang w:eastAsia="zh-CN"/>
        </w:rPr>
        <w:t>街道</w:t>
      </w:r>
      <w:r>
        <w:rPr>
          <w:rFonts w:hint="eastAsia" w:ascii="微软雅黑" w:hAnsi="微软雅黑" w:eastAsia="微软雅黑"/>
          <w:color w:val="333333"/>
          <w:sz w:val="23"/>
          <w:szCs w:val="23"/>
        </w:rPr>
        <w:t>的实情</w:t>
      </w:r>
      <w:r>
        <w:rPr>
          <w:rFonts w:hint="eastAsia" w:ascii="微软雅黑" w:hAnsi="微软雅黑" w:eastAsia="微软雅黑"/>
          <w:color w:val="333333"/>
          <w:sz w:val="23"/>
          <w:szCs w:val="23"/>
          <w:lang w:eastAsia="zh-CN"/>
        </w:rPr>
        <w:t>，</w:t>
      </w:r>
      <w:r>
        <w:rPr>
          <w:rFonts w:hint="eastAsia" w:ascii="微软雅黑" w:hAnsi="微软雅黑" w:eastAsia="微软雅黑"/>
          <w:color w:val="333333"/>
          <w:sz w:val="23"/>
          <w:szCs w:val="23"/>
        </w:rPr>
        <w:t>开通多种形式的信息公开渠道</w:t>
      </w:r>
      <w:r>
        <w:rPr>
          <w:rFonts w:hint="eastAsia" w:ascii="微软雅黑" w:hAnsi="微软雅黑" w:eastAsia="微软雅黑"/>
          <w:color w:val="333333"/>
          <w:sz w:val="23"/>
          <w:szCs w:val="23"/>
          <w:lang w:eastAsia="zh-CN"/>
        </w:rPr>
        <w:t>，</w:t>
      </w:r>
      <w:r>
        <w:rPr>
          <w:rFonts w:hint="eastAsia" w:ascii="微软雅黑" w:hAnsi="微软雅黑" w:eastAsia="微软雅黑"/>
          <w:color w:val="333333"/>
          <w:sz w:val="23"/>
          <w:szCs w:val="23"/>
        </w:rPr>
        <w:t>设立信息查询点</w:t>
      </w:r>
      <w:r>
        <w:rPr>
          <w:rFonts w:hint="eastAsia" w:ascii="微软雅黑" w:hAnsi="微软雅黑" w:eastAsia="微软雅黑"/>
          <w:color w:val="333333"/>
          <w:sz w:val="23"/>
          <w:szCs w:val="23"/>
          <w:lang w:eastAsia="zh-CN"/>
        </w:rPr>
        <w:t>，</w:t>
      </w:r>
      <w:r>
        <w:rPr>
          <w:rFonts w:hint="eastAsia" w:ascii="微软雅黑" w:hAnsi="微软雅黑" w:eastAsia="微软雅黑"/>
          <w:color w:val="333333"/>
          <w:sz w:val="23"/>
          <w:szCs w:val="23"/>
        </w:rPr>
        <w:t>赋予行政相对人一定的程序权利,使其获取所需信息</w:t>
      </w:r>
      <w:r>
        <w:rPr>
          <w:rFonts w:hint="eastAsia" w:ascii="微软雅黑" w:hAnsi="微软雅黑" w:eastAsia="微软雅黑"/>
          <w:color w:val="333333"/>
          <w:sz w:val="23"/>
          <w:szCs w:val="23"/>
          <w:lang w:eastAsia="zh-CN"/>
        </w:rPr>
        <w:t>。</w:t>
      </w:r>
    </w:p>
    <w:p>
      <w:pPr>
        <w:pStyle w:val="2"/>
        <w:shd w:val="clear" w:color="auto" w:fill="FFFFFF"/>
        <w:spacing w:before="0" w:beforeAutospacing="0" w:after="0" w:afterAutospacing="0" w:line="480" w:lineRule="atLeast"/>
        <w:ind w:firstLine="460" w:firstLineChars="200"/>
        <w:rPr>
          <w:rFonts w:ascii="微软雅黑" w:hAnsi="微软雅黑" w:eastAsia="微软雅黑"/>
          <w:color w:val="333333"/>
          <w:sz w:val="23"/>
          <w:szCs w:val="23"/>
        </w:rPr>
      </w:pPr>
      <w:r>
        <w:rPr>
          <w:rFonts w:hint="eastAsia" w:ascii="微软雅黑" w:hAnsi="微软雅黑" w:eastAsia="微软雅黑"/>
          <w:color w:val="333333"/>
          <w:sz w:val="23"/>
          <w:szCs w:val="23"/>
          <w:lang w:val="en-US" w:eastAsia="zh-CN"/>
        </w:rPr>
        <w:t>2</w:t>
      </w:r>
      <w:r>
        <w:rPr>
          <w:rFonts w:hint="eastAsia" w:ascii="微软雅黑" w:hAnsi="微软雅黑" w:eastAsia="微软雅黑"/>
          <w:color w:val="333333"/>
          <w:sz w:val="23"/>
          <w:szCs w:val="23"/>
        </w:rPr>
        <w:t>．进一步加强对政务公开工作责任心。对政府信息公开及时、主动。强化监督机制。依法有效保障公民的言论自由权、建议批评权、检举控告权等。</w:t>
      </w:r>
    </w:p>
    <w:p>
      <w:pPr>
        <w:pStyle w:val="2"/>
        <w:shd w:val="clear" w:color="auto" w:fill="FFFFFF"/>
        <w:spacing w:before="0" w:beforeAutospacing="0" w:after="0" w:afterAutospacing="0" w:line="480" w:lineRule="atLeast"/>
        <w:ind w:firstLine="460" w:firstLineChars="200"/>
        <w:rPr>
          <w:rFonts w:hint="eastAsia" w:ascii="微软雅黑" w:hAnsi="微软雅黑" w:eastAsia="微软雅黑"/>
          <w:color w:val="333333"/>
          <w:sz w:val="23"/>
          <w:szCs w:val="23"/>
        </w:rPr>
      </w:pPr>
      <w:r>
        <w:rPr>
          <w:rFonts w:hint="eastAsia" w:ascii="微软雅黑" w:hAnsi="微软雅黑" w:eastAsia="微软雅黑"/>
          <w:color w:val="333333"/>
          <w:sz w:val="23"/>
          <w:szCs w:val="23"/>
          <w:lang w:val="en-US" w:eastAsia="zh-CN"/>
        </w:rPr>
        <w:t>3</w:t>
      </w:r>
      <w:r>
        <w:rPr>
          <w:rFonts w:hint="eastAsia" w:ascii="微软雅黑" w:hAnsi="微软雅黑" w:eastAsia="微软雅黑"/>
          <w:color w:val="333333"/>
          <w:sz w:val="23"/>
          <w:szCs w:val="23"/>
        </w:rPr>
        <w:t>．加强政务公开日常管理。将政务公开作为机关行政效能建设和规范化服务型政府建设的重要内容，纳入日常管理之中，进一步加大对“政府信息以公开为原则，不公开为例外”意识的培养，严格落实政务公开各项制度，使政务公开内化为公务员日常行为准则。</w:t>
      </w:r>
    </w:p>
    <w:p>
      <w:pPr>
        <w:shd w:val="clear" w:color="auto" w:fill="FFFFFF"/>
        <w:adjustRightInd/>
        <w:snapToGrid/>
        <w:spacing w:after="0"/>
        <w:ind w:firstLine="480"/>
        <w:jc w:val="both"/>
        <w:rPr>
          <w:rFonts w:ascii="宋体" w:hAnsi="宋体" w:eastAsia="宋体" w:cs="宋体"/>
          <w:color w:val="333333"/>
          <w:sz w:val="24"/>
          <w:szCs w:val="24"/>
        </w:rPr>
      </w:pPr>
      <w:bookmarkStart w:id="0" w:name="_GoBack"/>
      <w:bookmarkEnd w:id="0"/>
      <w:r>
        <w:rPr>
          <w:rFonts w:hint="eastAsia" w:ascii="宋体" w:hAnsi="宋体" w:eastAsia="宋体" w:cs="宋体"/>
          <w:b/>
          <w:bCs/>
          <w:color w:val="333333"/>
          <w:sz w:val="24"/>
          <w:szCs w:val="24"/>
        </w:rPr>
        <w:t>六、其他需要报告的事项</w:t>
      </w:r>
    </w:p>
    <w:p>
      <w:pPr>
        <w:shd w:val="clear" w:color="auto" w:fill="FFFFFF"/>
        <w:adjustRightInd/>
        <w:snapToGrid/>
        <w:spacing w:after="0"/>
        <w:ind w:firstLine="480"/>
        <w:jc w:val="both"/>
        <w:rPr>
          <w:rFonts w:ascii="宋体" w:hAnsi="宋体" w:eastAsia="宋体" w:cs="宋体"/>
          <w:color w:val="333333"/>
          <w:sz w:val="24"/>
          <w:szCs w:val="24"/>
        </w:rPr>
      </w:pPr>
      <w:r>
        <w:rPr>
          <w:rFonts w:hint="eastAsia" w:ascii="宋体" w:hAnsi="宋体" w:eastAsia="宋体" w:cs="宋体"/>
          <w:color w:val="333333"/>
          <w:sz w:val="24"/>
          <w:szCs w:val="24"/>
        </w:rPr>
        <w:t>无</w:t>
      </w:r>
    </w:p>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080F3C52" w:usb2="00000016" w:usb3="00000000" w:csb0="0004001F" w:csb1="00000000"/>
  </w:font>
  <w:font w:name="Tahoma">
    <w:panose1 w:val="020B0604030504040204"/>
    <w:charset w:val="00"/>
    <w:family w:val="swiss"/>
    <w:pitch w:val="default"/>
    <w:sig w:usb0="61007A87" w:usb1="80000000" w:usb2="00000008" w:usb3="00000000" w:csb0="200101FF" w:csb1="20280000"/>
  </w:font>
  <w:font w:name="楷体">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1102E9"/>
    <w:rsid w:val="002B27CD"/>
    <w:rsid w:val="00323B43"/>
    <w:rsid w:val="00342713"/>
    <w:rsid w:val="003D37D8"/>
    <w:rsid w:val="003D459B"/>
    <w:rsid w:val="00426133"/>
    <w:rsid w:val="004358AB"/>
    <w:rsid w:val="00446923"/>
    <w:rsid w:val="005772A5"/>
    <w:rsid w:val="006B1F96"/>
    <w:rsid w:val="007726DF"/>
    <w:rsid w:val="008B7726"/>
    <w:rsid w:val="009842E1"/>
    <w:rsid w:val="00A046DD"/>
    <w:rsid w:val="00AC75AD"/>
    <w:rsid w:val="00B0653B"/>
    <w:rsid w:val="00B26702"/>
    <w:rsid w:val="00BD3C87"/>
    <w:rsid w:val="00C33C64"/>
    <w:rsid w:val="00CA0DE0"/>
    <w:rsid w:val="00D31D50"/>
    <w:rsid w:val="00E871F9"/>
    <w:rsid w:val="00FF0BD1"/>
    <w:rsid w:val="52970EF2"/>
    <w:rsid w:val="6BDE23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adjustRightInd/>
      <w:snapToGrid/>
      <w:spacing w:before="100" w:beforeAutospacing="1" w:after="100" w:afterAutospacing="1"/>
    </w:pPr>
    <w:rPr>
      <w:rFonts w:ascii="宋体" w:hAnsi="宋体" w:eastAsia="宋体" w:cs="宋体"/>
      <w:sz w:val="24"/>
      <w:szCs w:val="24"/>
    </w:rPr>
  </w:style>
  <w:style w:type="character" w:customStyle="1" w:styleId="5">
    <w:name w:val="apple-converted-space"/>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457</Words>
  <Characters>2605</Characters>
  <Lines>21</Lines>
  <Paragraphs>6</Paragraphs>
  <TotalTime>0</TotalTime>
  <ScaleCrop>false</ScaleCrop>
  <LinksUpToDate>false</LinksUpToDate>
  <CharactersWithSpaces>3056</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2020-03-26T07:12:57Z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