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2CF9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color w:val="auto"/>
          <w:sz w:val="44"/>
          <w:szCs w:val="44"/>
          <w:lang w:eastAsia="zh-CN"/>
        </w:rPr>
      </w:pPr>
    </w:p>
    <w:p w14:paraId="6529C5F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w:t>
      </w:r>
      <w:r>
        <w:rPr>
          <w:rFonts w:hint="eastAsia" w:ascii="方正小标宋简体" w:hAnsi="方正小标宋简体" w:eastAsia="方正小标宋简体" w:cs="方正小标宋简体"/>
          <w:sz w:val="44"/>
          <w:szCs w:val="44"/>
          <w:lang w:val="en-US" w:eastAsia="zh-CN"/>
        </w:rPr>
        <w:t>24</w:t>
      </w:r>
      <w:r>
        <w:rPr>
          <w:rFonts w:hint="eastAsia" w:ascii="方正小标宋简体" w:hAnsi="方正小标宋简体" w:eastAsia="方正小标宋简体" w:cs="方正小标宋简体"/>
          <w:sz w:val="44"/>
          <w:szCs w:val="44"/>
        </w:rPr>
        <w:t>年度北仑区供销合作社联合社</w:t>
      </w:r>
    </w:p>
    <w:p w14:paraId="1FB6A51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政府信息公开工作年度报告</w:t>
      </w:r>
    </w:p>
    <w:p w14:paraId="0EED4EC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_GB2312" w:hAnsi="仿宋_GB2312" w:eastAsia="仿宋_GB2312" w:cs="仿宋_GB2312"/>
          <w:color w:val="auto"/>
          <w:sz w:val="32"/>
          <w:szCs w:val="32"/>
          <w:lang w:eastAsia="zh-CN"/>
        </w:rPr>
      </w:pPr>
    </w:p>
    <w:p w14:paraId="24E639D6">
      <w:pPr>
        <w:pStyle w:val="4"/>
        <w:keepNext w:val="0"/>
        <w:keepLines w:val="0"/>
        <w:widowControl/>
        <w:suppressLineNumbers w:val="0"/>
        <w:spacing w:before="0" w:beforeAutospacing="0" w:after="0" w:afterAutospacing="0" w:line="420" w:lineRule="atLeast"/>
        <w:ind w:right="0" w:firstLine="640" w:firstLineChars="200"/>
        <w:rPr>
          <w:rFonts w:hint="eastAsia" w:ascii="仿宋_GB2312" w:hAnsi="仿宋_GB2312" w:eastAsia="仿宋_GB2312" w:cs="仿宋_GB2312"/>
          <w:color w:val="auto"/>
          <w:sz w:val="32"/>
          <w:szCs w:val="32"/>
          <w:shd w:val="clear" w:color="auto" w:fill="FFFFFF"/>
        </w:rPr>
      </w:pPr>
      <w:r>
        <w:rPr>
          <w:rFonts w:hint="eastAsia" w:ascii="Times New Roman" w:hAnsi="Times New Roman" w:eastAsia="仿宋_GB2312" w:cs="仿宋_GB2312"/>
          <w:color w:val="auto"/>
          <w:sz w:val="32"/>
          <w:szCs w:val="32"/>
          <w:lang w:val="en-US" w:eastAsia="zh-CN"/>
        </w:rPr>
        <w:t>2024</w:t>
      </w:r>
      <w:r>
        <w:rPr>
          <w:rFonts w:hint="eastAsia" w:ascii="仿宋_GB2312" w:hAnsi="仿宋_GB2312" w:eastAsia="仿宋_GB2312" w:cs="仿宋_GB2312"/>
          <w:color w:val="auto"/>
          <w:sz w:val="32"/>
          <w:szCs w:val="32"/>
          <w:lang w:val="en-US" w:eastAsia="zh-CN"/>
        </w:rPr>
        <w:t>年，我社严格落实新修订的《中华人民共和国政府信息公开条例》规定和《国务院办公厅政府信息与政务公开办公室关于印发〈中华人民共和国政府信息公开工作年度报告格式〉的通知》要求。现向社会公布</w:t>
      </w:r>
      <w:r>
        <w:rPr>
          <w:rFonts w:hint="eastAsia" w:ascii="Times New Roman" w:hAnsi="Times New Roman" w:eastAsia="仿宋_GB2312" w:cs="仿宋_GB2312"/>
          <w:color w:val="auto"/>
          <w:sz w:val="32"/>
          <w:szCs w:val="32"/>
          <w:lang w:val="en-US" w:eastAsia="zh-CN"/>
        </w:rPr>
        <w:t>2024</w:t>
      </w:r>
      <w:r>
        <w:rPr>
          <w:rFonts w:hint="eastAsia" w:ascii="仿宋_GB2312" w:hAnsi="仿宋_GB2312" w:eastAsia="仿宋_GB2312" w:cs="仿宋_GB2312"/>
          <w:color w:val="auto"/>
          <w:sz w:val="32"/>
          <w:szCs w:val="32"/>
          <w:lang w:val="en-US" w:eastAsia="zh-CN"/>
        </w:rPr>
        <w:t>年度北仑区供销合作社联合社政府信息公开工作年度报告。报告中统计数据时限为</w:t>
      </w:r>
      <w:r>
        <w:rPr>
          <w:rFonts w:hint="eastAsia" w:ascii="Times New Roman" w:hAnsi="Times New Roman" w:eastAsia="仿宋_GB2312" w:cs="仿宋_GB2312"/>
          <w:color w:val="auto"/>
          <w:sz w:val="32"/>
          <w:szCs w:val="32"/>
          <w:lang w:val="en-US" w:eastAsia="zh-CN"/>
        </w:rPr>
        <w:t>2024</w:t>
      </w:r>
      <w:r>
        <w:rPr>
          <w:rFonts w:hint="eastAsia" w:ascii="仿宋_GB2312" w:hAnsi="仿宋_GB2312" w:eastAsia="仿宋_GB2312" w:cs="仿宋_GB2312"/>
          <w:color w:val="auto"/>
          <w:sz w:val="32"/>
          <w:szCs w:val="32"/>
          <w:lang w:val="en-US" w:eastAsia="zh-CN"/>
        </w:rPr>
        <w:t>年</w:t>
      </w:r>
      <w:r>
        <w:rPr>
          <w:rFonts w:hint="eastAsia" w:ascii="Times New Roman" w:hAnsi="Times New Roman"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en-US" w:eastAsia="zh-CN"/>
        </w:rPr>
        <w:t>月</w:t>
      </w:r>
      <w:r>
        <w:rPr>
          <w:rFonts w:hint="eastAsia" w:ascii="Times New Roman" w:hAnsi="Times New Roman"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en-US" w:eastAsia="zh-CN"/>
        </w:rPr>
        <w:t>日至</w:t>
      </w:r>
      <w:r>
        <w:rPr>
          <w:rFonts w:hint="eastAsia" w:ascii="Times New Roman" w:hAnsi="Times New Roman" w:eastAsia="仿宋_GB2312" w:cs="仿宋_GB2312"/>
          <w:color w:val="auto"/>
          <w:sz w:val="32"/>
          <w:szCs w:val="32"/>
          <w:lang w:val="en-US" w:eastAsia="zh-CN"/>
        </w:rPr>
        <w:t>2024</w:t>
      </w:r>
      <w:r>
        <w:rPr>
          <w:rFonts w:hint="eastAsia" w:ascii="仿宋_GB2312" w:hAnsi="仿宋_GB2312" w:eastAsia="仿宋_GB2312" w:cs="仿宋_GB2312"/>
          <w:color w:val="auto"/>
          <w:sz w:val="32"/>
          <w:szCs w:val="32"/>
          <w:lang w:val="en-US" w:eastAsia="zh-CN"/>
        </w:rPr>
        <w:t>年</w:t>
      </w:r>
      <w:r>
        <w:rPr>
          <w:rFonts w:hint="eastAsia" w:ascii="Times New Roman" w:hAnsi="Times New Roman" w:eastAsia="仿宋_GB2312" w:cs="仿宋_GB2312"/>
          <w:color w:val="auto"/>
          <w:sz w:val="32"/>
          <w:szCs w:val="32"/>
          <w:lang w:val="en-US" w:eastAsia="zh-CN"/>
        </w:rPr>
        <w:t>12</w:t>
      </w:r>
      <w:r>
        <w:rPr>
          <w:rFonts w:hint="eastAsia" w:ascii="仿宋_GB2312" w:hAnsi="仿宋_GB2312" w:eastAsia="仿宋_GB2312" w:cs="仿宋_GB2312"/>
          <w:color w:val="auto"/>
          <w:sz w:val="32"/>
          <w:szCs w:val="32"/>
          <w:lang w:val="en-US" w:eastAsia="zh-CN"/>
        </w:rPr>
        <w:t>月</w:t>
      </w:r>
      <w:r>
        <w:rPr>
          <w:rFonts w:hint="eastAsia" w:ascii="Times New Roman" w:hAnsi="Times New Roman" w:eastAsia="仿宋_GB2312" w:cs="仿宋_GB2312"/>
          <w:color w:val="auto"/>
          <w:sz w:val="32"/>
          <w:szCs w:val="32"/>
          <w:lang w:val="en-US" w:eastAsia="zh-CN"/>
        </w:rPr>
        <w:t>31</w:t>
      </w:r>
      <w:r>
        <w:rPr>
          <w:rFonts w:hint="eastAsia" w:ascii="仿宋_GB2312" w:hAnsi="仿宋_GB2312" w:eastAsia="仿宋_GB2312" w:cs="仿宋_GB2312"/>
          <w:color w:val="auto"/>
          <w:sz w:val="32"/>
          <w:szCs w:val="32"/>
          <w:lang w:val="en-US" w:eastAsia="zh-CN"/>
        </w:rPr>
        <w:t>日。</w:t>
      </w:r>
    </w:p>
    <w:p w14:paraId="3E6E18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小标宋简体" w:hAnsi="方正小标宋简体" w:eastAsia="方正小标宋简体" w:cs="方正小标宋简体"/>
          <w:kern w:val="2"/>
          <w:sz w:val="32"/>
          <w:szCs w:val="32"/>
          <w:lang w:val="en-US" w:eastAsia="zh" w:bidi="ar-SA"/>
        </w:rPr>
      </w:pPr>
    </w:p>
    <w:p w14:paraId="1F37E8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黑体" w:hAnsi="黑体" w:eastAsia="黑体" w:cs="黑体"/>
          <w:color w:val="auto"/>
          <w:kern w:val="2"/>
          <w:sz w:val="32"/>
          <w:szCs w:val="32"/>
          <w:lang w:val="en-US" w:eastAsia="zh" w:bidi="ar-SA"/>
        </w:rPr>
      </w:pPr>
      <w:r>
        <w:rPr>
          <w:rFonts w:hint="eastAsia" w:ascii="黑体" w:hAnsi="黑体" w:eastAsia="黑体" w:cs="黑体"/>
          <w:color w:val="auto"/>
          <w:kern w:val="2"/>
          <w:sz w:val="32"/>
          <w:szCs w:val="32"/>
          <w:lang w:val="en-US" w:eastAsia="zh" w:bidi="ar-SA"/>
        </w:rPr>
        <w:t>一、总体情况</w:t>
      </w:r>
    </w:p>
    <w:p w14:paraId="60DDE4DF">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本年度，区社领导班子高度重视政府信息公开工作，积极组织对信息员的业务培训，建立考核制度。严格保密制度审查，坚持“谁公开、谁审查、谁负责”和“先审查、后公开”。严格落实信息公开前的审查审核机制，确保稿件的真实性、准确性和实效性。在主动公开信息方面，涵盖了北仑区供销社的组织架构、职能范围、重要政策文件、各类业务活动开展情况。2024年我社在北仑区人民政府门户网站主动公开工作信息49条，在微信公众号及相关媒体渠道公开51条，在“北仑区农合联”公众号上发布农合联宣传短视频23片。</w:t>
      </w:r>
    </w:p>
    <w:p w14:paraId="44B96E6E">
      <w:pPr>
        <w:keepNext w:val="0"/>
        <w:keepLines w:val="0"/>
        <w:pageBreakBefore w:val="0"/>
        <w:numPr>
          <w:ilvl w:val="0"/>
          <w:numId w:val="1"/>
        </w:numPr>
        <w:kinsoku/>
        <w:wordWrap/>
        <w:overflowPunct/>
        <w:topLinePunct w:val="0"/>
        <w:autoSpaceDE/>
        <w:autoSpaceDN/>
        <w:bidi w:val="0"/>
        <w:adjustRightInd w:val="0"/>
        <w:snapToGrid w:val="0"/>
        <w:spacing w:line="580" w:lineRule="exact"/>
        <w:ind w:firstLine="643" w:firstLineChars="200"/>
        <w:textAlignment w:val="auto"/>
        <w:rPr>
          <w:rFonts w:hint="eastAsia" w:ascii="楷体_GB2312" w:hAnsi="黑体" w:eastAsia="楷体_GB2312"/>
          <w:b/>
          <w:color w:val="auto"/>
          <w:sz w:val="32"/>
          <w:szCs w:val="32"/>
          <w:lang w:eastAsia="zh-CN"/>
        </w:rPr>
      </w:pPr>
      <w:r>
        <w:rPr>
          <w:rFonts w:hint="eastAsia" w:ascii="楷体_GB2312" w:hAnsi="黑体" w:eastAsia="楷体_GB2312"/>
          <w:b/>
          <w:color w:val="auto"/>
          <w:sz w:val="32"/>
          <w:szCs w:val="32"/>
          <w:lang w:eastAsia="zh-CN"/>
        </w:rPr>
        <w:t>政府信息主动公开情况</w:t>
      </w:r>
    </w:p>
    <w:p w14:paraId="0CB17C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截止</w:t>
      </w:r>
      <w:r>
        <w:rPr>
          <w:rFonts w:hint="eastAsia" w:ascii="Times New Roman" w:hAnsi="Times New Roman" w:eastAsia="仿宋_GB2312" w:cs="仿宋_GB2312"/>
          <w:color w:val="auto"/>
          <w:sz w:val="32"/>
          <w:szCs w:val="32"/>
          <w:lang w:val="en-US" w:eastAsia="zh-CN"/>
        </w:rPr>
        <w:t>12</w:t>
      </w:r>
      <w:r>
        <w:rPr>
          <w:rFonts w:hint="eastAsia" w:ascii="仿宋_GB2312" w:hAnsi="仿宋_GB2312" w:eastAsia="仿宋_GB2312" w:cs="仿宋_GB2312"/>
          <w:color w:val="auto"/>
          <w:sz w:val="32"/>
          <w:szCs w:val="32"/>
          <w:lang w:val="en-US" w:eastAsia="zh-CN"/>
        </w:rPr>
        <w:t>月底，按照《中华人民共和国政府信息公开条例》第十二条规定，主动公布本单位公开指南和公开目录并及时更新，</w:t>
      </w:r>
      <w:r>
        <w:rPr>
          <w:rFonts w:hint="eastAsia" w:ascii="Times New Roman" w:hAnsi="Times New Roman" w:eastAsia="仿宋_GB2312" w:cs="仿宋_GB2312"/>
          <w:color w:val="auto"/>
          <w:sz w:val="32"/>
          <w:szCs w:val="32"/>
          <w:lang w:val="en-US" w:eastAsia="zh-CN"/>
        </w:rPr>
        <w:t>2024</w:t>
      </w:r>
      <w:r>
        <w:rPr>
          <w:rFonts w:hint="eastAsia" w:ascii="仿宋_GB2312" w:hAnsi="仿宋_GB2312" w:eastAsia="仿宋_GB2312" w:cs="仿宋_GB2312"/>
          <w:color w:val="auto"/>
          <w:sz w:val="32"/>
          <w:szCs w:val="32"/>
          <w:lang w:val="en-US" w:eastAsia="zh-CN"/>
        </w:rPr>
        <w:t>年度相关数据统计如下：</w:t>
      </w:r>
      <w:r>
        <w:rPr>
          <w:rFonts w:hint="eastAsia" w:ascii="Times New Roman" w:hAnsi="Times New Roman"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en-US" w:eastAsia="zh-CN"/>
        </w:rPr>
        <w:t>至</w:t>
      </w:r>
      <w:r>
        <w:rPr>
          <w:rFonts w:hint="eastAsia" w:ascii="Times New Roman" w:hAnsi="Times New Roman" w:eastAsia="仿宋_GB2312" w:cs="仿宋_GB2312"/>
          <w:color w:val="auto"/>
          <w:sz w:val="32"/>
          <w:szCs w:val="32"/>
          <w:lang w:val="en-US" w:eastAsia="zh-CN"/>
        </w:rPr>
        <w:t>12</w:t>
      </w:r>
      <w:r>
        <w:rPr>
          <w:rFonts w:hint="eastAsia" w:ascii="仿宋_GB2312" w:hAnsi="仿宋_GB2312" w:eastAsia="仿宋_GB2312" w:cs="仿宋_GB2312"/>
          <w:color w:val="auto"/>
          <w:sz w:val="32"/>
          <w:szCs w:val="32"/>
          <w:lang w:val="en-US" w:eastAsia="zh-CN"/>
        </w:rPr>
        <w:t>月在北仑区政府信息公开平台上政府网站及其他方式公开政府信息合计为123条。</w:t>
      </w:r>
    </w:p>
    <w:p w14:paraId="22BCA922">
      <w:pPr>
        <w:pStyle w:val="8"/>
        <w:keepNext w:val="0"/>
        <w:keepLines w:val="0"/>
        <w:pageBreakBefore w:val="0"/>
        <w:widowControl w:val="0"/>
        <w:numPr>
          <w:ilvl w:val="0"/>
          <w:numId w:val="1"/>
        </w:numPr>
        <w:kinsoku/>
        <w:wordWrap/>
        <w:overflowPunct/>
        <w:topLinePunct w:val="0"/>
        <w:autoSpaceDE/>
        <w:autoSpaceDN/>
        <w:bidi w:val="0"/>
        <w:spacing w:line="580" w:lineRule="exact"/>
        <w:ind w:left="0" w:leftChars="0" w:firstLine="643" w:firstLineChars="200"/>
        <w:textAlignment w:val="auto"/>
        <w:rPr>
          <w:rFonts w:hint="eastAsia" w:ascii="楷体_GB2312" w:hAnsi="黑体" w:eastAsia="楷体_GB2312"/>
          <w:b/>
          <w:color w:val="auto"/>
          <w:sz w:val="32"/>
          <w:szCs w:val="32"/>
          <w:lang w:val="en-US" w:eastAsia="zh-CN"/>
        </w:rPr>
      </w:pPr>
      <w:r>
        <w:rPr>
          <w:rFonts w:hint="eastAsia" w:ascii="楷体_GB2312" w:hAnsi="黑体" w:eastAsia="楷体_GB2312"/>
          <w:b/>
          <w:color w:val="auto"/>
          <w:sz w:val="32"/>
          <w:szCs w:val="32"/>
          <w:lang w:val="en-US" w:eastAsia="zh-CN"/>
        </w:rPr>
        <w:t>依申请公开情况</w:t>
      </w:r>
    </w:p>
    <w:p w14:paraId="5A529A6C">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在依申请公开方面，我社建立了规范的申请流程，明确各环节办理时限与要求，确保公民、法人和其他组织的申请得</w:t>
      </w:r>
      <w:bookmarkStart w:id="0" w:name="_GoBack"/>
      <w:bookmarkEnd w:id="0"/>
      <w:r>
        <w:rPr>
          <w:rFonts w:hint="eastAsia" w:ascii="仿宋_GB2312" w:hAnsi="仿宋_GB2312" w:eastAsia="仿宋_GB2312" w:cs="仿宋_GB2312"/>
          <w:color w:val="auto"/>
          <w:sz w:val="32"/>
          <w:szCs w:val="32"/>
          <w:lang w:val="en-US" w:eastAsia="zh-CN"/>
        </w:rPr>
        <w:t>到及时、准确回应。2024年，我社未收到</w:t>
      </w:r>
      <w:r>
        <w:rPr>
          <w:rFonts w:hint="eastAsia" w:ascii="仿宋_GB2312" w:hAnsi="仿宋_GB2312" w:eastAsia="仿宋_GB2312" w:cs="仿宋_GB2312"/>
          <w:color w:val="auto"/>
          <w:sz w:val="32"/>
          <w:szCs w:val="32"/>
        </w:rPr>
        <w:t>政府信息公开申请</w:t>
      </w:r>
      <w:r>
        <w:rPr>
          <w:rFonts w:hint="eastAsia" w:ascii="仿宋_GB2312" w:hAnsi="仿宋_GB2312" w:eastAsia="仿宋_GB2312" w:cs="仿宋_GB2312"/>
          <w:color w:val="auto"/>
          <w:sz w:val="32"/>
          <w:szCs w:val="32"/>
          <w:lang w:val="en-US" w:eastAsia="zh-CN"/>
        </w:rPr>
        <w:t>件，未出现因信息公开导致的行政复议、行政诉讼等问题。</w:t>
      </w:r>
    </w:p>
    <w:p w14:paraId="37121998">
      <w:pPr>
        <w:pStyle w:val="8"/>
        <w:keepNext w:val="0"/>
        <w:keepLines w:val="0"/>
        <w:pageBreakBefore w:val="0"/>
        <w:widowControl w:val="0"/>
        <w:numPr>
          <w:ilvl w:val="0"/>
          <w:numId w:val="1"/>
        </w:numPr>
        <w:kinsoku/>
        <w:wordWrap/>
        <w:overflowPunct/>
        <w:topLinePunct w:val="0"/>
        <w:autoSpaceDE/>
        <w:autoSpaceDN/>
        <w:bidi w:val="0"/>
        <w:spacing w:line="580" w:lineRule="exact"/>
        <w:ind w:left="0" w:leftChars="0" w:firstLine="643" w:firstLineChars="200"/>
        <w:textAlignment w:val="auto"/>
        <w:rPr>
          <w:rFonts w:hint="eastAsia" w:ascii="楷体_GB2312" w:hAnsi="黑体" w:eastAsia="楷体_GB2312"/>
          <w:b/>
          <w:color w:val="auto"/>
          <w:sz w:val="32"/>
          <w:szCs w:val="32"/>
          <w:lang w:val="en-US" w:eastAsia="zh-CN"/>
        </w:rPr>
      </w:pPr>
      <w:r>
        <w:rPr>
          <w:rFonts w:hint="eastAsia" w:ascii="楷体_GB2312" w:hAnsi="黑体" w:eastAsia="楷体_GB2312"/>
          <w:b/>
          <w:color w:val="auto"/>
          <w:sz w:val="32"/>
          <w:szCs w:val="32"/>
          <w:lang w:val="en-US" w:eastAsia="zh-CN"/>
        </w:rPr>
        <w:t>政府信息公开管理情况</w:t>
      </w:r>
    </w:p>
    <w:p w14:paraId="105F5BB7">
      <w:pPr>
        <w:pStyle w:val="8"/>
        <w:keepNext w:val="0"/>
        <w:keepLines w:val="0"/>
        <w:pageBreakBefore w:val="0"/>
        <w:widowControl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完善政府信息公开工作机制，压实信息发布主体责任，做好信息公开保密审查和发布工作。2024年度，通过政府信息公开平台主动公开社务信息共49条，其中：组织机构信息1条，部门文件2条，规划计划1条，人事信息2条，公告通知3条，政务动态40条。</w:t>
      </w:r>
    </w:p>
    <w:p w14:paraId="3C0A8FD0">
      <w:pPr>
        <w:pStyle w:val="8"/>
        <w:keepNext w:val="0"/>
        <w:keepLines w:val="0"/>
        <w:pageBreakBefore w:val="0"/>
        <w:widowControl w:val="0"/>
        <w:kinsoku/>
        <w:wordWrap/>
        <w:overflowPunct/>
        <w:topLinePunct w:val="0"/>
        <w:autoSpaceDE/>
        <w:autoSpaceDN/>
        <w:bidi w:val="0"/>
        <w:spacing w:line="580" w:lineRule="exact"/>
        <w:textAlignment w:val="auto"/>
        <w:rPr>
          <w:rFonts w:hint="eastAsia"/>
          <w:color w:val="auto"/>
          <w:lang w:val="en-US" w:eastAsia="zh-CN"/>
        </w:rPr>
      </w:pPr>
      <w:r>
        <w:rPr>
          <w:rFonts w:hint="eastAsia" w:ascii="楷体_GB2312" w:hAnsi="黑体" w:eastAsia="楷体_GB2312"/>
          <w:b/>
          <w:color w:val="auto"/>
          <w:sz w:val="32"/>
          <w:szCs w:val="32"/>
          <w:lang w:val="en-US" w:eastAsia="zh-CN"/>
        </w:rPr>
        <w:t>（四）政府信息公开平台建设情况</w:t>
      </w:r>
    </w:p>
    <w:p w14:paraId="0EE0188D">
      <w:pPr>
        <w:pStyle w:val="4"/>
        <w:keepNext w:val="0"/>
        <w:keepLines w:val="0"/>
        <w:widowControl/>
        <w:numPr>
          <w:ilvl w:val="0"/>
          <w:numId w:val="0"/>
        </w:numPr>
        <w:suppressLineNumbers w:val="0"/>
        <w:spacing w:before="0" w:beforeAutospacing="0" w:after="0" w:afterAutospacing="0" w:line="420" w:lineRule="atLeast"/>
        <w:ind w:right="0" w:righ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为便于公众了解和知悉更多的供销社信息，我社十分重视信息公开平台建设，着力</w:t>
      </w:r>
      <w:r>
        <w:rPr>
          <w:rFonts w:hint="default" w:ascii="仿宋_GB2312" w:hAnsi="仿宋_GB2312" w:eastAsia="仿宋_GB2312" w:cs="仿宋_GB2312"/>
          <w:sz w:val="32"/>
          <w:szCs w:val="32"/>
          <w:lang w:val="en-US" w:eastAsia="zh-CN"/>
        </w:rPr>
        <w:t>搭建高效便捷的</w:t>
      </w:r>
      <w:r>
        <w:rPr>
          <w:rFonts w:hint="eastAsia" w:ascii="仿宋_GB2312" w:hAnsi="仿宋_GB2312" w:eastAsia="仿宋_GB2312" w:cs="仿宋_GB2312"/>
          <w:sz w:val="32"/>
          <w:szCs w:val="32"/>
          <w:lang w:val="en-US" w:eastAsia="zh-CN"/>
        </w:rPr>
        <w:t>多元化的</w:t>
      </w:r>
      <w:r>
        <w:rPr>
          <w:rFonts w:hint="default" w:ascii="仿宋_GB2312" w:hAnsi="仿宋_GB2312" w:eastAsia="仿宋_GB2312" w:cs="仿宋_GB2312"/>
          <w:sz w:val="32"/>
          <w:szCs w:val="32"/>
          <w:lang w:val="en-US" w:eastAsia="zh-CN"/>
        </w:rPr>
        <w:t>公开载体。</w:t>
      </w:r>
      <w:r>
        <w:rPr>
          <w:rFonts w:hint="eastAsia" w:ascii="仿宋_GB2312" w:hAnsi="仿宋_GB2312" w:eastAsia="仿宋_GB2312" w:cs="仿宋_GB2312"/>
          <w:sz w:val="32"/>
          <w:szCs w:val="32"/>
          <w:lang w:val="en-US" w:eastAsia="zh-CN"/>
        </w:rPr>
        <w:t>依托派驻在各街道的供销专干，</w:t>
      </w:r>
      <w:r>
        <w:rPr>
          <w:rFonts w:hint="default" w:ascii="仿宋_GB2312" w:hAnsi="仿宋_GB2312" w:eastAsia="仿宋_GB2312" w:cs="仿宋_GB2312"/>
          <w:sz w:val="32"/>
          <w:szCs w:val="32"/>
          <w:lang w:val="en-US" w:eastAsia="zh-CN"/>
        </w:rPr>
        <w:t>收集基层供销社和农合联的农事服务、农资供应</w:t>
      </w:r>
      <w:r>
        <w:rPr>
          <w:rFonts w:hint="eastAsia" w:ascii="仿宋_GB2312" w:hAnsi="仿宋_GB2312" w:eastAsia="仿宋_GB2312" w:cs="仿宋_GB2312"/>
          <w:sz w:val="32"/>
          <w:szCs w:val="32"/>
          <w:lang w:val="en-US" w:eastAsia="zh-CN"/>
        </w:rPr>
        <w:t>、农产品销售</w:t>
      </w:r>
      <w:r>
        <w:rPr>
          <w:rFonts w:hint="default"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val="en-US" w:eastAsia="zh-CN"/>
        </w:rPr>
        <w:t>重要</w:t>
      </w:r>
      <w:r>
        <w:rPr>
          <w:rFonts w:hint="default" w:ascii="仿宋_GB2312" w:hAnsi="仿宋_GB2312" w:eastAsia="仿宋_GB2312" w:cs="仿宋_GB2312"/>
          <w:sz w:val="32"/>
          <w:szCs w:val="32"/>
          <w:lang w:val="en-US" w:eastAsia="zh-CN"/>
        </w:rPr>
        <w:t>信息，进一步拓宽了信息</w:t>
      </w:r>
      <w:r>
        <w:rPr>
          <w:rFonts w:hint="eastAsia" w:ascii="仿宋_GB2312" w:hAnsi="仿宋_GB2312" w:eastAsia="仿宋_GB2312" w:cs="仿宋_GB2312"/>
          <w:sz w:val="32"/>
          <w:szCs w:val="32"/>
          <w:lang w:val="en-US" w:eastAsia="zh-CN"/>
        </w:rPr>
        <w:t>公开</w:t>
      </w:r>
      <w:r>
        <w:rPr>
          <w:rFonts w:hint="default" w:ascii="仿宋_GB2312" w:hAnsi="仿宋_GB2312" w:eastAsia="仿宋_GB2312" w:cs="仿宋_GB2312"/>
          <w:sz w:val="32"/>
          <w:szCs w:val="32"/>
          <w:lang w:val="en-US" w:eastAsia="zh-CN"/>
        </w:rPr>
        <w:t>的广度。借助新闻媒体</w:t>
      </w:r>
      <w:r>
        <w:rPr>
          <w:rFonts w:hint="eastAsia" w:ascii="仿宋_GB2312" w:hAnsi="仿宋_GB2312" w:eastAsia="仿宋_GB2312" w:cs="仿宋_GB2312"/>
          <w:sz w:val="32"/>
          <w:szCs w:val="32"/>
          <w:lang w:val="en-US" w:eastAsia="zh-CN"/>
        </w:rPr>
        <w:t>宣传，</w:t>
      </w:r>
      <w:r>
        <w:rPr>
          <w:rFonts w:hint="default" w:ascii="仿宋_GB2312" w:hAnsi="仿宋_GB2312" w:eastAsia="仿宋_GB2312" w:cs="仿宋_GB2312"/>
          <w:sz w:val="32"/>
          <w:szCs w:val="32"/>
          <w:lang w:val="en-US" w:eastAsia="zh-CN"/>
        </w:rPr>
        <w:t>主动对接中华时报媒体，</w:t>
      </w:r>
      <w:r>
        <w:rPr>
          <w:rFonts w:hint="eastAsia" w:ascii="仿宋_GB2312" w:hAnsi="仿宋_GB2312" w:eastAsia="仿宋_GB2312" w:cs="仿宋_GB2312"/>
          <w:sz w:val="32"/>
          <w:szCs w:val="32"/>
          <w:lang w:val="en-US" w:eastAsia="zh-CN"/>
        </w:rPr>
        <w:t>宁波日报、甬派等</w:t>
      </w:r>
      <w:r>
        <w:rPr>
          <w:rFonts w:hint="default" w:ascii="仿宋_GB2312" w:hAnsi="仿宋_GB2312" w:eastAsia="仿宋_GB2312" w:cs="仿宋_GB2312"/>
          <w:sz w:val="32"/>
          <w:szCs w:val="32"/>
          <w:lang w:val="en-US" w:eastAsia="zh-CN"/>
        </w:rPr>
        <w:t>将需要通过新闻媒体公布的重要情况及时向社会公众公开，不断提升供销社为农服务形象。</w:t>
      </w:r>
    </w:p>
    <w:p w14:paraId="3CA37020">
      <w:pPr>
        <w:pStyle w:val="8"/>
        <w:keepNext w:val="0"/>
        <w:keepLines w:val="0"/>
        <w:pageBreakBefore w:val="0"/>
        <w:widowControl w:val="0"/>
        <w:numPr>
          <w:ilvl w:val="0"/>
          <w:numId w:val="0"/>
        </w:numPr>
        <w:kinsoku/>
        <w:wordWrap/>
        <w:overflowPunct/>
        <w:topLinePunct w:val="0"/>
        <w:autoSpaceDE/>
        <w:autoSpaceDN/>
        <w:bidi w:val="0"/>
        <w:spacing w:line="580" w:lineRule="exact"/>
        <w:ind w:leftChars="200" w:firstLine="321" w:firstLineChars="100"/>
        <w:textAlignment w:val="auto"/>
        <w:rPr>
          <w:rFonts w:hint="eastAsia" w:ascii="楷体_GB2312" w:hAnsi="黑体" w:eastAsia="楷体_GB2312"/>
          <w:b/>
          <w:color w:val="auto"/>
          <w:sz w:val="32"/>
          <w:szCs w:val="32"/>
          <w:lang w:val="en-US" w:eastAsia="zh-CN"/>
        </w:rPr>
      </w:pPr>
      <w:r>
        <w:rPr>
          <w:rFonts w:hint="eastAsia" w:ascii="楷体_GB2312" w:hAnsi="黑体" w:eastAsia="楷体_GB2312"/>
          <w:b/>
          <w:color w:val="auto"/>
          <w:sz w:val="32"/>
          <w:szCs w:val="32"/>
          <w:lang w:val="en-US" w:eastAsia="zh-CN"/>
        </w:rPr>
        <w:t>（五）政府信息公开监督保障情况</w:t>
      </w:r>
    </w:p>
    <w:p w14:paraId="02C39996">
      <w:pPr>
        <w:pStyle w:val="4"/>
        <w:keepNext w:val="0"/>
        <w:keepLines w:val="0"/>
        <w:widowControl/>
        <w:numPr>
          <w:ilvl w:val="0"/>
          <w:numId w:val="0"/>
        </w:numPr>
        <w:suppressLineNumbers w:val="0"/>
        <w:spacing w:before="0" w:beforeAutospacing="0" w:after="0" w:afterAutospacing="0" w:line="420" w:lineRule="atLeast"/>
        <w:ind w:right="0" w:righ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做好对门户网站和政务新媒体的日常巡查，优化政务服务，提升工作质效。完善信息发布审核机制，严格落实保密责任，做好保密审查，严把信息安全关，确保政务信息准确无误。</w:t>
      </w:r>
    </w:p>
    <w:p w14:paraId="36183F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_GB2312" w:hAnsi="仿宋_GB2312" w:eastAsia="仿宋_GB2312" w:cs="仿宋_GB2312"/>
          <w:sz w:val="32"/>
          <w:szCs w:val="32"/>
          <w:lang w:val="en-US" w:eastAsia="zh-CN"/>
        </w:rPr>
      </w:pPr>
      <w:r>
        <w:rPr>
          <w:rFonts w:hint="eastAsia" w:ascii="黑体" w:hAnsi="黑体" w:eastAsia="黑体" w:cs="黑体"/>
          <w:color w:val="auto"/>
          <w:kern w:val="2"/>
          <w:sz w:val="32"/>
          <w:szCs w:val="32"/>
          <w:lang w:val="en-US" w:eastAsia="zh" w:bidi="ar-SA"/>
        </w:rPr>
        <w:t>二、主动公开政府信息情况</w:t>
      </w:r>
    </w:p>
    <w:tbl>
      <w:tblPr>
        <w:tblStyle w:val="6"/>
        <w:tblW w:w="84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559"/>
        <w:gridCol w:w="1952"/>
        <w:gridCol w:w="1952"/>
        <w:gridCol w:w="1953"/>
      </w:tblGrid>
      <w:tr w14:paraId="2C84A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exact"/>
          <w:jc w:val="center"/>
        </w:trPr>
        <w:tc>
          <w:tcPr>
            <w:tcW w:w="1134" w:type="dxa"/>
            <w:gridSpan w:val="4"/>
            <w:tcBorders>
              <w:top w:val="single" w:color="auto" w:sz="8" w:space="0"/>
              <w:left w:val="single" w:color="auto" w:sz="8" w:space="0"/>
              <w:bottom w:val="single" w:color="auto" w:sz="8" w:space="0"/>
              <w:right w:val="single" w:color="auto" w:sz="8" w:space="0"/>
            </w:tcBorders>
            <w:shd w:val="clear" w:color="auto" w:fill="C6D9F1"/>
            <w:noWrap w:val="0"/>
            <w:tcMar>
              <w:left w:w="57" w:type="dxa"/>
              <w:right w:w="57" w:type="dxa"/>
            </w:tcMar>
            <w:vAlign w:val="center"/>
          </w:tcPr>
          <w:p w14:paraId="179900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center"/>
              <w:textAlignment w:val="auto"/>
            </w:pPr>
            <w:r>
              <w:rPr>
                <w:rFonts w:hint="eastAsia" w:ascii="仿宋_GB2312" w:hAnsi="仿宋_GB2312" w:eastAsia="仿宋_GB2312" w:cs="仿宋_GB2312"/>
                <w:color w:val="000000"/>
                <w:kern w:val="0"/>
                <w:sz w:val="24"/>
                <w:szCs w:val="24"/>
                <w:lang w:val="en-US" w:eastAsia="zh-CN" w:bidi="ar"/>
              </w:rPr>
              <w:t>第二十条第（一）项</w:t>
            </w:r>
          </w:p>
        </w:tc>
      </w:tr>
      <w:tr w14:paraId="0500B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3D0D2B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信息内容</w:t>
            </w:r>
          </w:p>
        </w:tc>
        <w:tc>
          <w:tcPr>
            <w:tcW w:w="1134" w:type="dxa"/>
            <w:tcBorders>
              <w:top w:val="single" w:color="auto" w:sz="8" w:space="0"/>
              <w:left w:val="nil"/>
              <w:bottom w:val="single" w:color="auto" w:sz="8" w:space="0"/>
              <w:right w:val="single" w:color="auto" w:sz="8" w:space="0"/>
            </w:tcBorders>
            <w:noWrap w:val="0"/>
            <w:tcMar>
              <w:left w:w="57" w:type="dxa"/>
              <w:right w:w="57" w:type="dxa"/>
            </w:tcMar>
            <w:vAlign w:val="center"/>
          </w:tcPr>
          <w:p w14:paraId="72A125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本年</w:t>
            </w:r>
            <w:r>
              <w:rPr>
                <w:rFonts w:hint="eastAsia" w:ascii="仿宋_GB2312" w:hAnsi="仿宋_GB2312" w:eastAsia="仿宋_GB2312" w:cs="仿宋_GB2312"/>
                <w:kern w:val="0"/>
                <w:sz w:val="22"/>
                <w:szCs w:val="22"/>
                <w:lang w:val="en-US" w:eastAsia="zh-CN" w:bidi="ar"/>
              </w:rPr>
              <w:t>制发件数</w:t>
            </w:r>
          </w:p>
        </w:tc>
        <w:tc>
          <w:tcPr>
            <w:tcW w:w="1134" w:type="dxa"/>
            <w:tcBorders>
              <w:top w:val="single" w:color="auto" w:sz="8" w:space="0"/>
              <w:left w:val="nil"/>
              <w:bottom w:val="single" w:color="auto" w:sz="8" w:space="0"/>
              <w:right w:val="single" w:color="auto" w:sz="8" w:space="0"/>
            </w:tcBorders>
            <w:noWrap w:val="0"/>
            <w:tcMar>
              <w:left w:w="57" w:type="dxa"/>
              <w:right w:w="57" w:type="dxa"/>
            </w:tcMar>
            <w:vAlign w:val="center"/>
          </w:tcPr>
          <w:p w14:paraId="547800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本年废止件数</w:t>
            </w:r>
          </w:p>
        </w:tc>
        <w:tc>
          <w:tcPr>
            <w:tcW w:w="1134" w:type="dxa"/>
            <w:tcBorders>
              <w:top w:val="single" w:color="auto" w:sz="8" w:space="0"/>
              <w:left w:val="nil"/>
              <w:bottom w:val="single" w:color="auto" w:sz="8" w:space="0"/>
              <w:right w:val="single" w:color="auto" w:sz="8" w:space="0"/>
            </w:tcBorders>
            <w:noWrap w:val="0"/>
            <w:tcMar>
              <w:left w:w="57" w:type="dxa"/>
              <w:right w:w="57" w:type="dxa"/>
            </w:tcMar>
            <w:vAlign w:val="center"/>
          </w:tcPr>
          <w:p w14:paraId="1620D3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现行有效件</w:t>
            </w:r>
            <w:r>
              <w:rPr>
                <w:rFonts w:hint="eastAsia" w:ascii="仿宋_GB2312" w:hAnsi="仿宋_GB2312" w:eastAsia="仿宋_GB2312" w:cs="仿宋_GB2312"/>
                <w:kern w:val="0"/>
                <w:sz w:val="22"/>
                <w:szCs w:val="22"/>
                <w:lang w:val="en-US" w:eastAsia="zh-CN" w:bidi="ar"/>
              </w:rPr>
              <w:t>数</w:t>
            </w:r>
          </w:p>
        </w:tc>
      </w:tr>
      <w:tr w14:paraId="4D9DB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3EE267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规章</w:t>
            </w:r>
          </w:p>
        </w:tc>
        <w:tc>
          <w:tcPr>
            <w:tcW w:w="1134" w:type="dxa"/>
            <w:tcBorders>
              <w:top w:val="nil"/>
              <w:left w:val="nil"/>
              <w:bottom w:val="single" w:color="auto" w:sz="8" w:space="0"/>
              <w:right w:val="single" w:color="auto" w:sz="8" w:space="0"/>
            </w:tcBorders>
            <w:noWrap w:val="0"/>
            <w:tcMar>
              <w:left w:w="57" w:type="dxa"/>
              <w:right w:w="57" w:type="dxa"/>
            </w:tcMar>
            <w:vAlign w:val="center"/>
          </w:tcPr>
          <w:p w14:paraId="6D1A3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center"/>
              <w:rPr>
                <w:rFonts w:hint="default" w:ascii="Times New Roman" w:hAnsi="Times New Roman" w:eastAsia="仿宋_GB2312" w:cs="Times New Roman"/>
                <w:sz w:val="22"/>
                <w:szCs w:val="22"/>
                <w:lang w:val="en-US" w:eastAsia="zh"/>
              </w:rPr>
            </w:pPr>
            <w:r>
              <w:rPr>
                <w:rFonts w:hint="default" w:ascii="Times New Roman" w:hAnsi="Times New Roman" w:eastAsia="仿宋_GB2312" w:cs="Times New Roman"/>
                <w:color w:val="000000"/>
                <w:kern w:val="0"/>
                <w:sz w:val="22"/>
                <w:szCs w:val="22"/>
                <w:lang w:val="en-US" w:eastAsia="zh" w:bidi="ar"/>
              </w:rPr>
              <w:t>0</w:t>
            </w:r>
          </w:p>
        </w:tc>
        <w:tc>
          <w:tcPr>
            <w:tcW w:w="1134" w:type="dxa"/>
            <w:tcBorders>
              <w:top w:val="nil"/>
              <w:left w:val="nil"/>
              <w:bottom w:val="single" w:color="auto" w:sz="8" w:space="0"/>
              <w:right w:val="single" w:color="auto" w:sz="8" w:space="0"/>
            </w:tcBorders>
            <w:noWrap w:val="0"/>
            <w:tcMar>
              <w:left w:w="57" w:type="dxa"/>
              <w:right w:w="57" w:type="dxa"/>
            </w:tcMar>
            <w:vAlign w:val="center"/>
          </w:tcPr>
          <w:p w14:paraId="20549E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center"/>
              <w:rPr>
                <w:rFonts w:hint="default" w:ascii="Times New Roman" w:hAnsi="Times New Roman" w:eastAsia="仿宋_GB2312" w:cs="Times New Roman"/>
                <w:sz w:val="22"/>
                <w:szCs w:val="22"/>
                <w:lang w:val="en-US" w:eastAsia="zh"/>
              </w:rPr>
            </w:pPr>
            <w:r>
              <w:rPr>
                <w:rFonts w:hint="default" w:ascii="Times New Roman" w:hAnsi="Times New Roman" w:eastAsia="仿宋_GB2312" w:cs="Times New Roman"/>
                <w:color w:val="000000"/>
                <w:kern w:val="0"/>
                <w:sz w:val="22"/>
                <w:szCs w:val="22"/>
                <w:lang w:val="en-US" w:eastAsia="zh" w:bidi="ar"/>
              </w:rPr>
              <w:t>0</w:t>
            </w:r>
          </w:p>
        </w:tc>
        <w:tc>
          <w:tcPr>
            <w:tcW w:w="1134" w:type="dxa"/>
            <w:tcBorders>
              <w:top w:val="nil"/>
              <w:left w:val="nil"/>
              <w:bottom w:val="single" w:color="auto" w:sz="8" w:space="0"/>
              <w:right w:val="single" w:color="auto" w:sz="8" w:space="0"/>
            </w:tcBorders>
            <w:noWrap w:val="0"/>
            <w:tcMar>
              <w:left w:w="57" w:type="dxa"/>
              <w:right w:w="57" w:type="dxa"/>
            </w:tcMar>
            <w:vAlign w:val="center"/>
          </w:tcPr>
          <w:p w14:paraId="79E329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center"/>
              <w:rPr>
                <w:rFonts w:hint="default" w:ascii="Times New Roman" w:hAnsi="Times New Roman" w:eastAsia="仿宋_GB2312" w:cs="Times New Roman"/>
                <w:sz w:val="22"/>
                <w:szCs w:val="22"/>
                <w:lang w:val="en-US" w:eastAsia="zh"/>
              </w:rPr>
            </w:pPr>
            <w:r>
              <w:rPr>
                <w:rFonts w:hint="default" w:ascii="Times New Roman" w:hAnsi="Times New Roman" w:eastAsia="仿宋_GB2312" w:cs="Times New Roman"/>
                <w:kern w:val="0"/>
                <w:sz w:val="22"/>
                <w:szCs w:val="22"/>
                <w:lang w:val="en-US" w:eastAsia="zh" w:bidi="ar"/>
              </w:rPr>
              <w:t>0</w:t>
            </w:r>
          </w:p>
        </w:tc>
      </w:tr>
      <w:tr w14:paraId="77CE4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54345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_GB2312" w:hAnsi="仿宋_GB2312" w:eastAsia="仿宋_GB2312" w:cs="仿宋_GB2312"/>
                <w:color w:val="000000"/>
                <w:kern w:val="0"/>
                <w:sz w:val="22"/>
                <w:szCs w:val="22"/>
                <w:lang w:val="en-US" w:eastAsia="zh-CN" w:bidi="ar"/>
              </w:rPr>
              <w:t>行政规范性文件</w:t>
            </w:r>
          </w:p>
        </w:tc>
        <w:tc>
          <w:tcPr>
            <w:tcW w:w="1134" w:type="dxa"/>
            <w:tcBorders>
              <w:top w:val="nil"/>
              <w:left w:val="nil"/>
              <w:bottom w:val="single" w:color="auto" w:sz="8" w:space="0"/>
              <w:right w:val="single" w:color="auto" w:sz="8" w:space="0"/>
            </w:tcBorders>
            <w:noWrap w:val="0"/>
            <w:tcMar>
              <w:left w:w="57" w:type="dxa"/>
              <w:right w:w="57" w:type="dxa"/>
            </w:tcMar>
            <w:vAlign w:val="center"/>
          </w:tcPr>
          <w:p w14:paraId="4EA81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宋体" w:cs="Times New Roman"/>
                <w:sz w:val="22"/>
                <w:szCs w:val="22"/>
                <w:lang w:val="en-US" w:eastAsia="zh"/>
              </w:rPr>
            </w:pPr>
            <w:r>
              <w:rPr>
                <w:rFonts w:hint="default" w:ascii="Times New Roman" w:hAnsi="Times New Roman" w:eastAsia="宋体" w:cs="Times New Roman"/>
                <w:color w:val="000000"/>
                <w:kern w:val="0"/>
                <w:sz w:val="22"/>
                <w:szCs w:val="22"/>
                <w:lang w:val="en-US" w:eastAsia="zh" w:bidi="ar"/>
              </w:rPr>
              <w:t>0</w:t>
            </w:r>
          </w:p>
        </w:tc>
        <w:tc>
          <w:tcPr>
            <w:tcW w:w="1134" w:type="dxa"/>
            <w:tcBorders>
              <w:top w:val="nil"/>
              <w:left w:val="nil"/>
              <w:bottom w:val="single" w:color="auto" w:sz="8" w:space="0"/>
              <w:right w:val="single" w:color="auto" w:sz="8" w:space="0"/>
            </w:tcBorders>
            <w:noWrap w:val="0"/>
            <w:tcMar>
              <w:left w:w="57" w:type="dxa"/>
              <w:right w:w="57" w:type="dxa"/>
            </w:tcMar>
            <w:vAlign w:val="center"/>
          </w:tcPr>
          <w:p w14:paraId="00896A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宋体" w:cs="Times New Roman"/>
                <w:sz w:val="22"/>
                <w:szCs w:val="22"/>
                <w:lang w:val="en-US" w:eastAsia="zh"/>
              </w:rPr>
            </w:pPr>
            <w:r>
              <w:rPr>
                <w:rFonts w:hint="default" w:ascii="Times New Roman" w:hAnsi="Times New Roman" w:eastAsia="宋体" w:cs="Times New Roman"/>
                <w:color w:val="000000"/>
                <w:kern w:val="0"/>
                <w:sz w:val="22"/>
                <w:szCs w:val="22"/>
                <w:lang w:val="en-US" w:eastAsia="zh" w:bidi="ar"/>
              </w:rPr>
              <w:t>0</w:t>
            </w:r>
          </w:p>
        </w:tc>
        <w:tc>
          <w:tcPr>
            <w:tcW w:w="1134" w:type="dxa"/>
            <w:tcBorders>
              <w:top w:val="nil"/>
              <w:left w:val="nil"/>
              <w:bottom w:val="single" w:color="auto" w:sz="8" w:space="0"/>
              <w:right w:val="single" w:color="auto" w:sz="8" w:space="0"/>
            </w:tcBorders>
            <w:noWrap w:val="0"/>
            <w:tcMar>
              <w:left w:w="57" w:type="dxa"/>
              <w:right w:w="57" w:type="dxa"/>
            </w:tcMar>
            <w:vAlign w:val="center"/>
          </w:tcPr>
          <w:p w14:paraId="3AFB68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宋体" w:cs="Times New Roman"/>
                <w:sz w:val="22"/>
                <w:szCs w:val="22"/>
                <w:lang w:val="en-US" w:eastAsia="zh"/>
              </w:rPr>
            </w:pPr>
            <w:r>
              <w:rPr>
                <w:rFonts w:hint="default" w:ascii="Times New Roman" w:hAnsi="Times New Roman" w:cs="Times New Roman"/>
                <w:kern w:val="0"/>
                <w:sz w:val="22"/>
                <w:szCs w:val="22"/>
                <w:lang w:val="en-US" w:eastAsia="zh" w:bidi="ar"/>
              </w:rPr>
              <w:t>0</w:t>
            </w:r>
          </w:p>
        </w:tc>
      </w:tr>
      <w:tr w14:paraId="7CD9C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exact"/>
          <w:jc w:val="center"/>
        </w:trPr>
        <w:tc>
          <w:tcPr>
            <w:tcW w:w="1134" w:type="dxa"/>
            <w:gridSpan w:val="4"/>
            <w:tcBorders>
              <w:top w:val="nil"/>
              <w:left w:val="single" w:color="auto" w:sz="8" w:space="0"/>
              <w:bottom w:val="single" w:color="auto" w:sz="8" w:space="0"/>
              <w:right w:val="single" w:color="auto" w:sz="8" w:space="0"/>
            </w:tcBorders>
            <w:shd w:val="clear" w:color="auto" w:fill="C6D9F1"/>
            <w:noWrap w:val="0"/>
            <w:tcMar>
              <w:left w:w="57" w:type="dxa"/>
              <w:right w:w="57" w:type="dxa"/>
            </w:tcMar>
            <w:vAlign w:val="center"/>
          </w:tcPr>
          <w:p w14:paraId="19D31A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_GB2312" w:hAnsi="仿宋_GB2312" w:eastAsia="仿宋_GB2312" w:cs="仿宋_GB2312"/>
                <w:color w:val="000000"/>
                <w:kern w:val="0"/>
                <w:sz w:val="24"/>
                <w:szCs w:val="24"/>
                <w:lang w:val="en-US" w:eastAsia="zh-CN" w:bidi="ar"/>
              </w:rPr>
              <w:t>第二十条第（五）项</w:t>
            </w:r>
          </w:p>
        </w:tc>
      </w:tr>
      <w:tr w14:paraId="752D0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218799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信息内容</w:t>
            </w:r>
          </w:p>
        </w:tc>
        <w:tc>
          <w:tcPr>
            <w:tcW w:w="1134" w:type="dxa"/>
            <w:gridSpan w:val="3"/>
            <w:tcBorders>
              <w:top w:val="nil"/>
              <w:left w:val="nil"/>
              <w:bottom w:val="single" w:color="auto" w:sz="8" w:space="0"/>
              <w:right w:val="single" w:color="auto" w:sz="8" w:space="0"/>
            </w:tcBorders>
            <w:noWrap w:val="0"/>
            <w:tcMar>
              <w:left w:w="57" w:type="dxa"/>
              <w:right w:w="57" w:type="dxa"/>
            </w:tcMar>
            <w:vAlign w:val="center"/>
          </w:tcPr>
          <w:p w14:paraId="35DACA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本年处理决定数量</w:t>
            </w:r>
          </w:p>
        </w:tc>
      </w:tr>
      <w:tr w14:paraId="3CB3A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69284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行政许可</w:t>
            </w:r>
          </w:p>
        </w:tc>
        <w:tc>
          <w:tcPr>
            <w:tcW w:w="1134" w:type="dxa"/>
            <w:gridSpan w:val="3"/>
            <w:tcBorders>
              <w:top w:val="nil"/>
              <w:left w:val="nil"/>
              <w:bottom w:val="single" w:color="auto" w:sz="8" w:space="0"/>
              <w:right w:val="single" w:color="auto" w:sz="8" w:space="0"/>
            </w:tcBorders>
            <w:noWrap w:val="0"/>
            <w:tcMar>
              <w:left w:w="57" w:type="dxa"/>
              <w:right w:w="57" w:type="dxa"/>
            </w:tcMar>
            <w:vAlign w:val="center"/>
          </w:tcPr>
          <w:p w14:paraId="1C3698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lang w:val="en-US" w:eastAsia="zh"/>
              </w:rPr>
            </w:pPr>
            <w:r>
              <w:rPr>
                <w:rFonts w:hint="default" w:ascii="Times New Roman" w:hAnsi="Times New Roman" w:eastAsia="仿宋_GB2312" w:cs="Times New Roman"/>
                <w:kern w:val="0"/>
                <w:sz w:val="22"/>
                <w:szCs w:val="22"/>
                <w:lang w:val="en-US" w:eastAsia="zh" w:bidi="ar"/>
              </w:rPr>
              <w:t>0</w:t>
            </w:r>
          </w:p>
        </w:tc>
      </w:tr>
      <w:tr w14:paraId="602EA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exact"/>
          <w:jc w:val="center"/>
        </w:trPr>
        <w:tc>
          <w:tcPr>
            <w:tcW w:w="1134" w:type="dxa"/>
            <w:gridSpan w:val="4"/>
            <w:tcBorders>
              <w:top w:val="nil"/>
              <w:left w:val="single" w:color="auto" w:sz="8" w:space="0"/>
              <w:bottom w:val="single" w:color="auto" w:sz="8" w:space="0"/>
              <w:right w:val="single" w:color="auto" w:sz="8" w:space="0"/>
            </w:tcBorders>
            <w:shd w:val="clear" w:color="auto" w:fill="C6D9F1"/>
            <w:noWrap w:val="0"/>
            <w:tcMar>
              <w:left w:w="57" w:type="dxa"/>
              <w:right w:w="57" w:type="dxa"/>
            </w:tcMar>
            <w:vAlign w:val="center"/>
          </w:tcPr>
          <w:p w14:paraId="7524B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_GB2312" w:hAnsi="仿宋_GB2312" w:eastAsia="仿宋_GB2312" w:cs="仿宋_GB2312"/>
                <w:color w:val="000000"/>
                <w:kern w:val="0"/>
                <w:sz w:val="24"/>
                <w:szCs w:val="24"/>
                <w:lang w:val="en-US" w:eastAsia="zh-CN" w:bidi="ar"/>
              </w:rPr>
              <w:t>第二十条第（六）项</w:t>
            </w:r>
          </w:p>
        </w:tc>
      </w:tr>
      <w:tr w14:paraId="39B28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72AC4D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信息内容</w:t>
            </w:r>
          </w:p>
        </w:tc>
        <w:tc>
          <w:tcPr>
            <w:tcW w:w="1134"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14:paraId="129451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本年处理决定数量</w:t>
            </w:r>
          </w:p>
        </w:tc>
      </w:tr>
      <w:tr w14:paraId="6E5D9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06BD01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行政处罚</w:t>
            </w:r>
          </w:p>
        </w:tc>
        <w:tc>
          <w:tcPr>
            <w:tcW w:w="1134" w:type="dxa"/>
            <w:gridSpan w:val="3"/>
            <w:tcBorders>
              <w:top w:val="nil"/>
              <w:left w:val="nil"/>
              <w:bottom w:val="single" w:color="auto" w:sz="8" w:space="0"/>
              <w:right w:val="single" w:color="auto" w:sz="8" w:space="0"/>
            </w:tcBorders>
            <w:noWrap w:val="0"/>
            <w:tcMar>
              <w:left w:w="57" w:type="dxa"/>
              <w:right w:w="57" w:type="dxa"/>
            </w:tcMar>
            <w:vAlign w:val="center"/>
          </w:tcPr>
          <w:p w14:paraId="64A0A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22"/>
                <w:szCs w:val="22"/>
                <w:lang w:val="en-US" w:eastAsia="zh"/>
              </w:rPr>
            </w:pPr>
            <w:r>
              <w:rPr>
                <w:rFonts w:hint="default" w:ascii="Times New Roman" w:hAnsi="Times New Roman" w:eastAsia="仿宋_GB2312" w:cs="Times New Roman"/>
                <w:color w:val="000000"/>
                <w:kern w:val="0"/>
                <w:sz w:val="22"/>
                <w:szCs w:val="22"/>
                <w:lang w:val="en-US" w:eastAsia="zh" w:bidi="ar"/>
              </w:rPr>
              <w:t>0</w:t>
            </w:r>
          </w:p>
        </w:tc>
      </w:tr>
      <w:tr w14:paraId="488B6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0EEA33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行政强制</w:t>
            </w:r>
          </w:p>
        </w:tc>
        <w:tc>
          <w:tcPr>
            <w:tcW w:w="1134" w:type="dxa"/>
            <w:gridSpan w:val="3"/>
            <w:tcBorders>
              <w:top w:val="nil"/>
              <w:left w:val="nil"/>
              <w:bottom w:val="single" w:color="auto" w:sz="8" w:space="0"/>
              <w:right w:val="single" w:color="auto" w:sz="8" w:space="0"/>
            </w:tcBorders>
            <w:noWrap w:val="0"/>
            <w:tcMar>
              <w:left w:w="57" w:type="dxa"/>
              <w:right w:w="57" w:type="dxa"/>
            </w:tcMar>
            <w:vAlign w:val="center"/>
          </w:tcPr>
          <w:p w14:paraId="6C71AA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22"/>
                <w:szCs w:val="22"/>
                <w:lang w:val="en-US" w:eastAsia="zh"/>
              </w:rPr>
            </w:pPr>
            <w:r>
              <w:rPr>
                <w:rFonts w:hint="default" w:ascii="Times New Roman" w:hAnsi="Times New Roman" w:eastAsia="仿宋_GB2312" w:cs="Times New Roman"/>
                <w:color w:val="000000"/>
                <w:kern w:val="0"/>
                <w:sz w:val="22"/>
                <w:szCs w:val="22"/>
                <w:lang w:val="en-US" w:eastAsia="zh" w:bidi="ar"/>
              </w:rPr>
              <w:t>0</w:t>
            </w:r>
          </w:p>
        </w:tc>
      </w:tr>
      <w:tr w14:paraId="5198B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exact"/>
          <w:jc w:val="center"/>
        </w:trPr>
        <w:tc>
          <w:tcPr>
            <w:tcW w:w="1134" w:type="dxa"/>
            <w:gridSpan w:val="4"/>
            <w:tcBorders>
              <w:top w:val="nil"/>
              <w:left w:val="single" w:color="auto" w:sz="8" w:space="0"/>
              <w:bottom w:val="single" w:color="auto" w:sz="8" w:space="0"/>
              <w:right w:val="single" w:color="auto" w:sz="8" w:space="0"/>
            </w:tcBorders>
            <w:shd w:val="clear" w:color="auto" w:fill="C6D9F1"/>
            <w:noWrap w:val="0"/>
            <w:tcMar>
              <w:left w:w="57" w:type="dxa"/>
              <w:right w:w="57" w:type="dxa"/>
            </w:tcMar>
            <w:vAlign w:val="center"/>
          </w:tcPr>
          <w:p w14:paraId="1E58E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_GB2312" w:hAnsi="仿宋_GB2312" w:eastAsia="仿宋_GB2312" w:cs="仿宋_GB2312"/>
                <w:color w:val="000000"/>
                <w:kern w:val="0"/>
                <w:sz w:val="24"/>
                <w:szCs w:val="24"/>
                <w:lang w:val="en-US" w:eastAsia="zh-CN" w:bidi="ar"/>
              </w:rPr>
              <w:t>第二十条第（八）项</w:t>
            </w:r>
          </w:p>
        </w:tc>
      </w:tr>
      <w:tr w14:paraId="291BC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2F012F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信息内容</w:t>
            </w:r>
          </w:p>
        </w:tc>
        <w:tc>
          <w:tcPr>
            <w:tcW w:w="1134" w:type="dxa"/>
            <w:gridSpan w:val="3"/>
            <w:tcBorders>
              <w:top w:val="nil"/>
              <w:left w:val="nil"/>
              <w:bottom w:val="single" w:color="auto" w:sz="8" w:space="0"/>
              <w:right w:val="single" w:color="000000" w:sz="8" w:space="0"/>
            </w:tcBorders>
            <w:noWrap w:val="0"/>
            <w:tcMar>
              <w:left w:w="57" w:type="dxa"/>
              <w:right w:w="57" w:type="dxa"/>
            </w:tcMar>
            <w:vAlign w:val="center"/>
          </w:tcPr>
          <w:p w14:paraId="772C3C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本年收费金额</w:t>
            </w:r>
            <w:r>
              <w:rPr>
                <w:rFonts w:hint="eastAsia" w:ascii="楷体_GB2312" w:hAnsi="楷体_GB2312" w:eastAsia="楷体_GB2312" w:cs="楷体_GB2312"/>
                <w:color w:val="000000"/>
                <w:kern w:val="0"/>
                <w:sz w:val="22"/>
                <w:szCs w:val="22"/>
                <w:lang w:val="en-US" w:eastAsia="zh-CN" w:bidi="ar"/>
              </w:rPr>
              <w:t>（单位：万元）</w:t>
            </w:r>
          </w:p>
        </w:tc>
      </w:tr>
      <w:tr w14:paraId="70ACD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jc w:val="center"/>
        </w:trPr>
        <w:tc>
          <w:tcPr>
            <w:tcW w:w="1486" w:type="dxa"/>
            <w:tcBorders>
              <w:top w:val="nil"/>
              <w:left w:val="single" w:color="auto" w:sz="8" w:space="0"/>
              <w:bottom w:val="single" w:color="auto" w:sz="8" w:space="0"/>
              <w:right w:val="single" w:color="auto" w:sz="8" w:space="0"/>
            </w:tcBorders>
            <w:noWrap w:val="0"/>
            <w:tcMar>
              <w:left w:w="57" w:type="dxa"/>
              <w:right w:w="57" w:type="dxa"/>
            </w:tcMar>
            <w:vAlign w:val="center"/>
          </w:tcPr>
          <w:p w14:paraId="0DCD28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kern w:val="0"/>
                <w:sz w:val="22"/>
                <w:szCs w:val="22"/>
                <w:lang w:val="en-US" w:eastAsia="zh-CN" w:bidi="ar"/>
              </w:rPr>
              <w:t>行政事业性收费</w:t>
            </w:r>
          </w:p>
        </w:tc>
        <w:tc>
          <w:tcPr>
            <w:tcW w:w="1134" w:type="dxa"/>
            <w:gridSpan w:val="3"/>
            <w:tcBorders>
              <w:top w:val="nil"/>
              <w:left w:val="nil"/>
              <w:bottom w:val="single" w:color="auto" w:sz="8" w:space="0"/>
              <w:right w:val="single" w:color="000000" w:sz="8" w:space="0"/>
            </w:tcBorders>
            <w:noWrap w:val="0"/>
            <w:tcMar>
              <w:left w:w="57" w:type="dxa"/>
              <w:right w:w="57" w:type="dxa"/>
            </w:tcMar>
            <w:vAlign w:val="center"/>
          </w:tcPr>
          <w:p w14:paraId="6C52C102">
            <w:pPr>
              <w:jc w:val="center"/>
              <w:rPr>
                <w:rFonts w:hint="eastAsia" w:ascii="仿宋_GB2312" w:hAnsi="仿宋_GB2312" w:eastAsia="仿宋_GB2312" w:cs="仿宋_GB2312"/>
                <w:sz w:val="22"/>
                <w:szCs w:val="22"/>
                <w:lang w:val="en-US" w:eastAsia="zh"/>
              </w:rPr>
            </w:pPr>
            <w:r>
              <w:rPr>
                <w:rFonts w:hint="default" w:ascii="Times New Roman" w:hAnsi="Times New Roman" w:eastAsia="仿宋_GB2312" w:cs="Times New Roman"/>
                <w:sz w:val="22"/>
                <w:szCs w:val="22"/>
                <w:lang w:val="en-US" w:eastAsia="zh"/>
              </w:rPr>
              <w:t>0</w:t>
            </w:r>
          </w:p>
        </w:tc>
      </w:tr>
    </w:tbl>
    <w:p w14:paraId="1D8E25BB">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rPr>
      </w:pPr>
    </w:p>
    <w:p w14:paraId="6F5D1FE6">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rPr>
      </w:pPr>
    </w:p>
    <w:p w14:paraId="46286C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三、收到和处理政府信息公开申请情况</w:t>
      </w:r>
    </w:p>
    <w:p w14:paraId="14D93B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left"/>
        <w:textAlignment w:val="auto"/>
        <w:rPr>
          <w:rFonts w:hint="eastAsia" w:ascii="仿宋_GB2312" w:hAnsi="仿宋_GB2312" w:eastAsia="仿宋_GB2312" w:cs="仿宋_GB2312"/>
          <w:kern w:val="2"/>
          <w:sz w:val="32"/>
          <w:szCs w:val="32"/>
          <w:lang w:val="en-US" w:eastAsia="zh-CN" w:bidi="ar-SA"/>
        </w:rPr>
      </w:pPr>
    </w:p>
    <w:tbl>
      <w:tblPr>
        <w:tblStyle w:val="6"/>
        <w:tblW w:w="9069"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8"/>
        <w:gridCol w:w="1590"/>
        <w:gridCol w:w="3059"/>
        <w:gridCol w:w="520"/>
        <w:gridCol w:w="520"/>
        <w:gridCol w:w="520"/>
        <w:gridCol w:w="520"/>
        <w:gridCol w:w="520"/>
        <w:gridCol w:w="521"/>
        <w:gridCol w:w="521"/>
      </w:tblGrid>
      <w:tr w14:paraId="7F12A2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5427" w:type="dxa"/>
            <w:gridSpan w:val="3"/>
            <w:vMerge w:val="restart"/>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38813B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left"/>
              <w:textAlignment w:val="auto"/>
            </w:pPr>
            <w:r>
              <w:rPr>
                <w:rFonts w:hint="eastAsia" w:ascii="楷体_GB2312" w:hAnsi="楷体_GB2312" w:eastAsia="楷体_GB2312" w:cs="楷体_GB2312"/>
                <w:kern w:val="0"/>
                <w:sz w:val="20"/>
                <w:szCs w:val="20"/>
                <w:lang w:val="en-US" w:eastAsia="zh-CN" w:bidi="ar"/>
              </w:rPr>
              <w:t>（本列数据的勾稽关系为：第一项加第二项之和，等于第三项加第四项之和）</w:t>
            </w:r>
          </w:p>
        </w:tc>
        <w:tc>
          <w:tcPr>
            <w:tcW w:w="3642" w:type="dxa"/>
            <w:gridSpan w:val="7"/>
            <w:tcBorders>
              <w:top w:val="single" w:color="auto" w:sz="8" w:space="0"/>
              <w:left w:val="nil"/>
              <w:bottom w:val="single" w:color="auto" w:sz="8" w:space="0"/>
              <w:right w:val="single" w:color="auto" w:sz="8" w:space="0"/>
            </w:tcBorders>
            <w:noWrap w:val="0"/>
            <w:tcMar>
              <w:left w:w="57" w:type="dxa"/>
              <w:right w:w="57" w:type="dxa"/>
            </w:tcMar>
            <w:vAlign w:val="center"/>
          </w:tcPr>
          <w:p w14:paraId="6536F6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center"/>
              <w:rPr>
                <w:rFonts w:hint="eastAsia" w:ascii="黑体" w:hAnsi="黑体" w:eastAsia="黑体" w:cs="黑体"/>
                <w:sz w:val="20"/>
                <w:szCs w:val="20"/>
              </w:rPr>
            </w:pPr>
            <w:r>
              <w:rPr>
                <w:rFonts w:hint="eastAsia" w:ascii="黑体" w:hAnsi="黑体" w:eastAsia="黑体" w:cs="黑体"/>
                <w:kern w:val="0"/>
                <w:sz w:val="20"/>
                <w:szCs w:val="20"/>
                <w:lang w:val="en-US" w:eastAsia="zh-CN" w:bidi="ar"/>
              </w:rPr>
              <w:t>申请人情况</w:t>
            </w:r>
          </w:p>
        </w:tc>
      </w:tr>
      <w:tr w14:paraId="326BCB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5427"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521B12EA">
            <w:pPr>
              <w:rPr>
                <w:rFonts w:hint="eastAsia" w:ascii="宋体"/>
                <w:sz w:val="24"/>
                <w:szCs w:val="24"/>
              </w:rPr>
            </w:pPr>
          </w:p>
        </w:tc>
        <w:tc>
          <w:tcPr>
            <w:tcW w:w="520" w:type="dxa"/>
            <w:vMerge w:val="restart"/>
            <w:tcBorders>
              <w:top w:val="nil"/>
              <w:left w:val="nil"/>
              <w:bottom w:val="single" w:color="auto" w:sz="8" w:space="0"/>
              <w:right w:val="single" w:color="auto" w:sz="8" w:space="0"/>
            </w:tcBorders>
            <w:noWrap w:val="0"/>
            <w:tcMar>
              <w:left w:w="57" w:type="dxa"/>
              <w:right w:w="57" w:type="dxa"/>
            </w:tcMar>
            <w:vAlign w:val="center"/>
          </w:tcPr>
          <w:p w14:paraId="70A80A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自</w:t>
            </w:r>
          </w:p>
          <w:p w14:paraId="7114D4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kern w:val="0"/>
                <w:sz w:val="20"/>
                <w:szCs w:val="20"/>
                <w:lang w:val="en-US" w:eastAsia="zh-CN" w:bidi="ar"/>
              </w:rPr>
            </w:pPr>
            <w:r>
              <w:rPr>
                <w:rFonts w:hint="eastAsia" w:ascii="黑体" w:hAnsi="黑体" w:eastAsia="黑体" w:cs="黑体"/>
                <w:kern w:val="0"/>
                <w:sz w:val="20"/>
                <w:szCs w:val="20"/>
                <w:lang w:val="en-US" w:eastAsia="zh-CN" w:bidi="ar"/>
              </w:rPr>
              <w:t>然</w:t>
            </w:r>
          </w:p>
          <w:p w14:paraId="28DB69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人</w:t>
            </w:r>
          </w:p>
        </w:tc>
        <w:tc>
          <w:tcPr>
            <w:tcW w:w="2601" w:type="dxa"/>
            <w:gridSpan w:val="5"/>
            <w:tcBorders>
              <w:top w:val="single" w:color="auto" w:sz="8" w:space="0"/>
              <w:left w:val="nil"/>
              <w:bottom w:val="single" w:color="auto" w:sz="8" w:space="0"/>
              <w:right w:val="single" w:color="auto" w:sz="8" w:space="0"/>
            </w:tcBorders>
            <w:noWrap w:val="0"/>
            <w:tcMar>
              <w:left w:w="57" w:type="dxa"/>
              <w:right w:w="57" w:type="dxa"/>
            </w:tcMar>
            <w:vAlign w:val="center"/>
          </w:tcPr>
          <w:p w14:paraId="30BACD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法人或其他组织</w:t>
            </w:r>
          </w:p>
        </w:tc>
        <w:tc>
          <w:tcPr>
            <w:tcW w:w="521" w:type="dxa"/>
            <w:vMerge w:val="restart"/>
            <w:tcBorders>
              <w:top w:val="single" w:color="auto" w:sz="8" w:space="0"/>
              <w:left w:val="nil"/>
              <w:bottom w:val="outset" w:color="auto" w:sz="8" w:space="0"/>
              <w:right w:val="single" w:color="auto" w:sz="8" w:space="0"/>
            </w:tcBorders>
            <w:noWrap w:val="0"/>
            <w:tcMar>
              <w:left w:w="57" w:type="dxa"/>
              <w:right w:w="57" w:type="dxa"/>
            </w:tcMar>
            <w:vAlign w:val="center"/>
          </w:tcPr>
          <w:p w14:paraId="60D1FF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黑体" w:eastAsia="黑体" w:cs="黑体"/>
                <w:sz w:val="20"/>
                <w:szCs w:val="20"/>
              </w:rPr>
            </w:pPr>
            <w:r>
              <w:rPr>
                <w:rFonts w:hint="eastAsia" w:ascii="黑体" w:hAnsi="黑体" w:eastAsia="黑体" w:cs="黑体"/>
                <w:kern w:val="0"/>
                <w:sz w:val="20"/>
                <w:szCs w:val="20"/>
                <w:lang w:val="en-US" w:eastAsia="zh-CN" w:bidi="ar"/>
              </w:rPr>
              <w:t>总计</w:t>
            </w:r>
          </w:p>
        </w:tc>
      </w:tr>
      <w:tr w14:paraId="4D43CB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94" w:hRule="exact"/>
          <w:jc w:val="center"/>
        </w:trPr>
        <w:tc>
          <w:tcPr>
            <w:tcW w:w="5427"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2FCDCBD6">
            <w:pPr>
              <w:rPr>
                <w:rFonts w:hint="eastAsia" w:ascii="宋体"/>
                <w:sz w:val="24"/>
                <w:szCs w:val="24"/>
              </w:rPr>
            </w:pPr>
          </w:p>
        </w:tc>
        <w:tc>
          <w:tcPr>
            <w:tcW w:w="520" w:type="dxa"/>
            <w:vMerge w:val="continue"/>
            <w:tcBorders>
              <w:top w:val="nil"/>
              <w:left w:val="nil"/>
              <w:bottom w:val="single" w:color="auto" w:sz="8" w:space="0"/>
              <w:right w:val="single" w:color="auto" w:sz="8" w:space="0"/>
            </w:tcBorders>
            <w:noWrap w:val="0"/>
            <w:tcMar>
              <w:left w:w="57" w:type="dxa"/>
              <w:right w:w="57" w:type="dxa"/>
            </w:tcMar>
            <w:vAlign w:val="center"/>
          </w:tcPr>
          <w:p w14:paraId="24866BB6">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黑体" w:hAnsi="黑体" w:eastAsia="黑体" w:cs="黑体"/>
                <w:sz w:val="20"/>
                <w:szCs w:val="20"/>
              </w:rPr>
            </w:pP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E2688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商业</w:t>
            </w:r>
          </w:p>
          <w:p w14:paraId="64D788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企业</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E7B8F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科研</w:t>
            </w:r>
          </w:p>
          <w:p w14:paraId="797805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机构</w:t>
            </w:r>
          </w:p>
        </w:tc>
        <w:tc>
          <w:tcPr>
            <w:tcW w:w="520" w:type="dxa"/>
            <w:tcBorders>
              <w:top w:val="single" w:color="auto" w:sz="8" w:space="0"/>
              <w:left w:val="nil"/>
              <w:bottom w:val="single" w:color="auto" w:sz="8" w:space="0"/>
              <w:right w:val="single" w:color="auto" w:sz="8" w:space="0"/>
            </w:tcBorders>
            <w:noWrap w:val="0"/>
            <w:tcMar>
              <w:left w:w="57" w:type="dxa"/>
              <w:right w:w="57" w:type="dxa"/>
            </w:tcMar>
            <w:vAlign w:val="center"/>
          </w:tcPr>
          <w:p w14:paraId="20EB4C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社会公益组织</w:t>
            </w:r>
          </w:p>
        </w:tc>
        <w:tc>
          <w:tcPr>
            <w:tcW w:w="520" w:type="dxa"/>
            <w:tcBorders>
              <w:top w:val="single" w:color="auto" w:sz="8" w:space="0"/>
              <w:left w:val="nil"/>
              <w:bottom w:val="single" w:color="auto" w:sz="8" w:space="0"/>
              <w:right w:val="single" w:color="auto" w:sz="8" w:space="0"/>
            </w:tcBorders>
            <w:noWrap w:val="0"/>
            <w:tcMar>
              <w:left w:w="57" w:type="dxa"/>
              <w:right w:w="57" w:type="dxa"/>
            </w:tcMar>
            <w:vAlign w:val="center"/>
          </w:tcPr>
          <w:p w14:paraId="182DC9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法律服务机构</w:t>
            </w:r>
          </w:p>
        </w:tc>
        <w:tc>
          <w:tcPr>
            <w:tcW w:w="521" w:type="dxa"/>
            <w:tcBorders>
              <w:top w:val="single" w:color="auto" w:sz="8" w:space="0"/>
              <w:left w:val="nil"/>
              <w:bottom w:val="single" w:color="auto" w:sz="8" w:space="0"/>
              <w:right w:val="single" w:color="auto" w:sz="8" w:space="0"/>
            </w:tcBorders>
            <w:noWrap w:val="0"/>
            <w:tcMar>
              <w:left w:w="57" w:type="dxa"/>
              <w:right w:w="57" w:type="dxa"/>
            </w:tcMar>
            <w:vAlign w:val="center"/>
          </w:tcPr>
          <w:p w14:paraId="20A225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黑体" w:hAnsi="黑体" w:eastAsia="黑体" w:cs="黑体"/>
                <w:sz w:val="20"/>
                <w:szCs w:val="20"/>
              </w:rPr>
            </w:pPr>
            <w:r>
              <w:rPr>
                <w:rFonts w:hint="eastAsia" w:ascii="黑体" w:hAnsi="黑体" w:eastAsia="黑体" w:cs="黑体"/>
                <w:kern w:val="0"/>
                <w:sz w:val="20"/>
                <w:szCs w:val="20"/>
                <w:lang w:val="en-US" w:eastAsia="zh-CN" w:bidi="ar"/>
              </w:rPr>
              <w:t>其他</w:t>
            </w:r>
          </w:p>
        </w:tc>
        <w:tc>
          <w:tcPr>
            <w:tcW w:w="521" w:type="dxa"/>
            <w:vMerge w:val="continue"/>
            <w:tcBorders>
              <w:top w:val="single" w:color="auto" w:sz="8" w:space="0"/>
              <w:left w:val="nil"/>
              <w:bottom w:val="outset" w:color="auto" w:sz="8" w:space="0"/>
              <w:right w:val="single" w:color="auto" w:sz="8" w:space="0"/>
            </w:tcBorders>
            <w:noWrap w:val="0"/>
            <w:tcMar>
              <w:left w:w="57" w:type="dxa"/>
              <w:right w:w="57" w:type="dxa"/>
            </w:tcMar>
            <w:vAlign w:val="center"/>
          </w:tcPr>
          <w:p w14:paraId="324C5598">
            <w:pPr>
              <w:rPr>
                <w:rFonts w:hint="eastAsia" w:ascii="黑体" w:hAnsi="黑体" w:eastAsia="黑体" w:cs="黑体"/>
                <w:sz w:val="20"/>
                <w:szCs w:val="20"/>
              </w:rPr>
            </w:pPr>
          </w:p>
        </w:tc>
      </w:tr>
      <w:tr w14:paraId="44045D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5427"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14:paraId="28B7EF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sz w:val="20"/>
                <w:szCs w:val="20"/>
              </w:rPr>
            </w:pPr>
            <w:r>
              <w:rPr>
                <w:rFonts w:hint="eastAsia" w:ascii="黑体" w:hAnsi="黑体" w:eastAsia="黑体" w:cs="黑体"/>
                <w:kern w:val="0"/>
                <w:sz w:val="20"/>
                <w:szCs w:val="20"/>
                <w:lang w:val="en-US" w:eastAsia="zh-CN" w:bidi="ar"/>
              </w:rPr>
              <w:t>一、本年新收政府信息公开申请数量</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E1FE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2C688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69B4E0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48F76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0"/>
                <w:szCs w:val="20"/>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59CC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2FA6A4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D03D5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r>
      <w:tr w14:paraId="145723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5427"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14:paraId="244769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sz w:val="20"/>
                <w:szCs w:val="20"/>
              </w:rPr>
            </w:pPr>
            <w:r>
              <w:rPr>
                <w:rFonts w:hint="eastAsia" w:ascii="黑体" w:hAnsi="黑体" w:eastAsia="黑体" w:cs="黑体"/>
                <w:kern w:val="0"/>
                <w:sz w:val="20"/>
                <w:szCs w:val="20"/>
                <w:lang w:val="en-US" w:eastAsia="zh-CN" w:bidi="ar"/>
              </w:rPr>
              <w:t>二、上年结转政府信息公开申请数量</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52B2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01047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8F74E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DA42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6AF64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3E2FF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7B04B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0"/>
                <w:szCs w:val="20"/>
              </w:rPr>
            </w:pPr>
            <w:r>
              <w:rPr>
                <w:rFonts w:hint="eastAsia" w:ascii="Times New Roman" w:hAnsi="Times New Roman" w:cs="Calibri"/>
                <w:kern w:val="0"/>
                <w:sz w:val="20"/>
                <w:szCs w:val="20"/>
                <w:lang w:val="en-US" w:eastAsia="zh" w:bidi="ar"/>
              </w:rPr>
              <w:t>0</w:t>
            </w:r>
          </w:p>
        </w:tc>
      </w:tr>
      <w:tr w14:paraId="254799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restart"/>
            <w:tcBorders>
              <w:top w:val="nil"/>
              <w:left w:val="single" w:color="auto" w:sz="8" w:space="0"/>
              <w:bottom w:val="outset" w:color="auto" w:sz="8" w:space="0"/>
              <w:right w:val="single" w:color="auto" w:sz="8" w:space="0"/>
            </w:tcBorders>
            <w:noWrap w:val="0"/>
            <w:tcMar>
              <w:left w:w="57" w:type="dxa"/>
              <w:right w:w="57" w:type="dxa"/>
            </w:tcMar>
            <w:vAlign w:val="center"/>
          </w:tcPr>
          <w:p w14:paraId="190103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center"/>
              <w:textAlignment w:val="auto"/>
            </w:pPr>
            <w:r>
              <w:rPr>
                <w:rFonts w:hint="eastAsia" w:ascii="黑体" w:hAnsi="黑体" w:eastAsia="黑体" w:cs="黑体"/>
                <w:kern w:val="0"/>
                <w:sz w:val="20"/>
                <w:szCs w:val="20"/>
                <w:lang w:val="en-US" w:eastAsia="zh-CN" w:bidi="ar"/>
              </w:rPr>
              <w:t>三、本年度办理结果</w:t>
            </w:r>
          </w:p>
        </w:tc>
        <w:tc>
          <w:tcPr>
            <w:tcW w:w="4649" w:type="dxa"/>
            <w:gridSpan w:val="2"/>
            <w:tcBorders>
              <w:top w:val="nil"/>
              <w:left w:val="nil"/>
              <w:bottom w:val="single" w:color="auto" w:sz="8" w:space="0"/>
              <w:right w:val="single" w:color="auto" w:sz="8" w:space="0"/>
            </w:tcBorders>
            <w:noWrap w:val="0"/>
            <w:tcMar>
              <w:left w:w="57" w:type="dxa"/>
              <w:right w:w="57" w:type="dxa"/>
            </w:tcMar>
            <w:vAlign w:val="center"/>
          </w:tcPr>
          <w:p w14:paraId="5D1E22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楷体_GB2312" w:hAnsi="楷体_GB2312" w:eastAsia="楷体_GB2312" w:cs="楷体_GB2312"/>
                <w:kern w:val="0"/>
                <w:sz w:val="20"/>
                <w:szCs w:val="20"/>
                <w:lang w:val="en-US" w:eastAsia="zh-CN" w:bidi="ar"/>
              </w:rPr>
              <w:t>（一）予以公开</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4BAEF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6C902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2C41F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45915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053F8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0BF64C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single" w:color="auto" w:sz="8" w:space="0"/>
              <w:left w:val="nil"/>
              <w:bottom w:val="single" w:color="auto" w:sz="8" w:space="0"/>
              <w:right w:val="single" w:color="auto" w:sz="8" w:space="0"/>
            </w:tcBorders>
            <w:noWrap w:val="0"/>
            <w:tcMar>
              <w:left w:w="57" w:type="dxa"/>
              <w:right w:w="57" w:type="dxa"/>
            </w:tcMar>
            <w:vAlign w:val="center"/>
          </w:tcPr>
          <w:p w14:paraId="0BDC16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r>
      <w:tr w14:paraId="5FA918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7"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6E6BC18A">
            <w:pPr>
              <w:rPr>
                <w:rFonts w:hint="eastAsia" w:ascii="宋体"/>
                <w:sz w:val="24"/>
                <w:szCs w:val="24"/>
              </w:rPr>
            </w:pPr>
          </w:p>
        </w:tc>
        <w:tc>
          <w:tcPr>
            <w:tcW w:w="4649" w:type="dxa"/>
            <w:gridSpan w:val="2"/>
            <w:tcBorders>
              <w:top w:val="nil"/>
              <w:left w:val="nil"/>
              <w:bottom w:val="single" w:color="auto" w:sz="8" w:space="0"/>
              <w:right w:val="single" w:color="auto" w:sz="8" w:space="0"/>
            </w:tcBorders>
            <w:noWrap w:val="0"/>
            <w:tcMar>
              <w:left w:w="57" w:type="dxa"/>
              <w:right w:w="57" w:type="dxa"/>
            </w:tcMar>
            <w:vAlign w:val="center"/>
          </w:tcPr>
          <w:p w14:paraId="2370F8D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right="0" w:rightChars="0"/>
              <w:jc w:val="left"/>
              <w:textAlignment w:val="auto"/>
              <w:rPr>
                <w:rFonts w:hint="eastAsia" w:ascii="楷体_GB2312" w:hAnsi="楷体_GB2312" w:eastAsia="楷体_GB2312" w:cs="楷体_GB2312"/>
                <w:kern w:val="0"/>
                <w:sz w:val="20"/>
                <w:szCs w:val="20"/>
                <w:lang w:val="en-US" w:eastAsia="zh-CN" w:bidi="ar"/>
              </w:rPr>
            </w:pPr>
            <w:r>
              <w:rPr>
                <w:rFonts w:hint="eastAsia" w:ascii="楷体_GB2312" w:hAnsi="楷体_GB2312" w:eastAsia="楷体_GB2312" w:cs="楷体_GB2312"/>
                <w:kern w:val="0"/>
                <w:sz w:val="20"/>
                <w:szCs w:val="20"/>
                <w:lang w:val="en-US" w:eastAsia="zh-CN" w:bidi="ar"/>
              </w:rPr>
              <w:t>（二）部分公开</w:t>
            </w:r>
          </w:p>
          <w:p w14:paraId="05D6A6E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right="0" w:rightChars="0"/>
              <w:jc w:val="left"/>
              <w:textAlignment w:val="auto"/>
            </w:pPr>
            <w:r>
              <w:rPr>
                <w:rFonts w:hint="eastAsia" w:ascii="楷体_GB2312" w:hAnsi="楷体_GB2312" w:eastAsia="楷体_GB2312" w:cs="楷体_GB2312"/>
                <w:kern w:val="0"/>
                <w:sz w:val="20"/>
                <w:szCs w:val="20"/>
                <w:lang w:val="en-US" w:eastAsia="zh-CN" w:bidi="ar"/>
              </w:rPr>
              <w:t>（区分处理的，只计这一情形，不计其他情形）</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F014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A3F3A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83462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DFE2D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99296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2987AC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D49F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202F94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129C16E0">
            <w:pPr>
              <w:rPr>
                <w:rFonts w:hint="eastAsia" w:ascii="宋体"/>
                <w:sz w:val="24"/>
                <w:szCs w:val="24"/>
              </w:rPr>
            </w:pPr>
          </w:p>
        </w:tc>
        <w:tc>
          <w:tcPr>
            <w:tcW w:w="1590" w:type="dxa"/>
            <w:vMerge w:val="restart"/>
            <w:tcBorders>
              <w:top w:val="nil"/>
              <w:left w:val="nil"/>
              <w:bottom w:val="outset" w:color="auto" w:sz="8" w:space="0"/>
              <w:right w:val="single" w:color="auto" w:sz="8" w:space="0"/>
            </w:tcBorders>
            <w:noWrap w:val="0"/>
            <w:tcMar>
              <w:left w:w="57" w:type="dxa"/>
              <w:right w:w="57" w:type="dxa"/>
            </w:tcMar>
            <w:vAlign w:val="center"/>
          </w:tcPr>
          <w:p w14:paraId="1E5760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sz w:val="20"/>
                <w:szCs w:val="20"/>
              </w:rPr>
            </w:pPr>
            <w:r>
              <w:rPr>
                <w:rFonts w:hint="eastAsia" w:ascii="楷体_GB2312" w:hAnsi="楷体_GB2312" w:eastAsia="楷体_GB2312" w:cs="楷体_GB2312"/>
                <w:kern w:val="0"/>
                <w:sz w:val="20"/>
                <w:szCs w:val="20"/>
                <w:lang w:val="en-US" w:eastAsia="zh-CN" w:bidi="ar"/>
              </w:rPr>
              <w:t>（三）不予公开</w:t>
            </w:r>
          </w:p>
        </w:tc>
        <w:tc>
          <w:tcPr>
            <w:tcW w:w="3059" w:type="dxa"/>
            <w:tcBorders>
              <w:top w:val="nil"/>
              <w:left w:val="nil"/>
              <w:bottom w:val="single" w:color="auto" w:sz="8" w:space="0"/>
              <w:right w:val="single" w:color="auto" w:sz="8" w:space="0"/>
            </w:tcBorders>
            <w:noWrap w:val="0"/>
            <w:tcMar>
              <w:left w:w="57" w:type="dxa"/>
              <w:right w:w="57" w:type="dxa"/>
            </w:tcMar>
            <w:vAlign w:val="top"/>
          </w:tcPr>
          <w:p w14:paraId="6D3E9A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1.属于国家秘密</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C846D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CECD0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EDBB5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DA048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08A7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2A21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single" w:color="auto" w:sz="8" w:space="0"/>
              <w:left w:val="nil"/>
              <w:bottom w:val="single" w:color="auto" w:sz="8" w:space="0"/>
              <w:right w:val="single" w:color="auto" w:sz="8" w:space="0"/>
            </w:tcBorders>
            <w:noWrap w:val="0"/>
            <w:tcMar>
              <w:left w:w="57" w:type="dxa"/>
              <w:right w:w="57" w:type="dxa"/>
            </w:tcMar>
            <w:vAlign w:val="center"/>
          </w:tcPr>
          <w:p w14:paraId="1D4F2D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345B6A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4E9AB145">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4A6993AD">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6D4766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2.其他法律行政法规禁止公开</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4109E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B49DF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3C8B3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DE146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BF3E8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7E41FF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340BD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1C5265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58F42DF0">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2A083C62">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78E048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3.危及“三安全一稳定”</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B1E1C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9C491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D5B94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6B43AD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0"/>
                <w:szCs w:val="20"/>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DB4A6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0C3AF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52C88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375FC6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5D5877D1">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1A92ADCA">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7DF603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4.保护第三方合法权益</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78D4E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64AD9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9D49F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874CA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0623F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27C677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51FB5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07253FC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48C3D5BE">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00F83DBA">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143DEF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5.属于三类内部事务信息</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89C3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A1C13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DCF71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DDE1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02FD5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08F6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C7517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59DEF00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6D893D7C">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2A364E07">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04B8EF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6.属于四类过程性信息</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FF0F3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933A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FCA8A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F6A83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9FF06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E2C5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5BEC0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649E8F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671CE8F0">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0407637C">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09271E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7.属于行政执法案卷</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B6C34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02A4A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8F12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8ACAF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0CBF4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EB667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7BE5E7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227E28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2AC34DF0">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13FA468D">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10D73D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8.属于行政查询事项</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7087E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F4081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92C65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9F7F2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CEFF5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765F4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76CD47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35C3FF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4F20E617">
            <w:pPr>
              <w:rPr>
                <w:rFonts w:hint="eastAsia" w:ascii="宋体"/>
                <w:sz w:val="24"/>
                <w:szCs w:val="24"/>
              </w:rPr>
            </w:pPr>
          </w:p>
        </w:tc>
        <w:tc>
          <w:tcPr>
            <w:tcW w:w="1590" w:type="dxa"/>
            <w:vMerge w:val="restart"/>
            <w:tcBorders>
              <w:top w:val="nil"/>
              <w:left w:val="nil"/>
              <w:bottom w:val="outset" w:color="auto" w:sz="8" w:space="0"/>
              <w:right w:val="single" w:color="auto" w:sz="8" w:space="0"/>
            </w:tcBorders>
            <w:noWrap w:val="0"/>
            <w:tcMar>
              <w:left w:w="57" w:type="dxa"/>
              <w:right w:w="57" w:type="dxa"/>
            </w:tcMar>
            <w:vAlign w:val="center"/>
          </w:tcPr>
          <w:p w14:paraId="39D200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sz w:val="20"/>
                <w:szCs w:val="20"/>
              </w:rPr>
            </w:pPr>
            <w:r>
              <w:rPr>
                <w:rFonts w:hint="eastAsia" w:ascii="楷体_GB2312" w:hAnsi="楷体_GB2312" w:eastAsia="楷体_GB2312" w:cs="楷体_GB2312"/>
                <w:kern w:val="0"/>
                <w:sz w:val="20"/>
                <w:szCs w:val="20"/>
                <w:lang w:val="en-US" w:eastAsia="zh-CN" w:bidi="ar"/>
              </w:rPr>
              <w:t>（四）无法提供</w:t>
            </w:r>
          </w:p>
        </w:tc>
        <w:tc>
          <w:tcPr>
            <w:tcW w:w="3059" w:type="dxa"/>
            <w:tcBorders>
              <w:top w:val="nil"/>
              <w:left w:val="nil"/>
              <w:bottom w:val="single" w:color="auto" w:sz="8" w:space="0"/>
              <w:right w:val="single" w:color="auto" w:sz="8" w:space="0"/>
            </w:tcBorders>
            <w:noWrap w:val="0"/>
            <w:tcMar>
              <w:left w:w="57" w:type="dxa"/>
              <w:right w:w="57" w:type="dxa"/>
            </w:tcMar>
            <w:vAlign w:val="top"/>
          </w:tcPr>
          <w:p w14:paraId="6CA7CA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1.本机关不掌握相关政府信息</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87F48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BDE4A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65BA0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3DB5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F6AFB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7254C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844E1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r>
      <w:tr w14:paraId="5EB658A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22EC44AF">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3DB02CB1">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67CA92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2.没有现成信息需要另行制作</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6D0483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5E224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8C098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942AD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93FC7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7660C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719249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18C6AE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19DEB5E8">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108F4843">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464744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3.补正后申请内容仍不明确</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40680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FE335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F3EEB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53CDB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248FB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D7A6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130B08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2420B8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26CC4C6A">
            <w:pPr>
              <w:rPr>
                <w:rFonts w:hint="eastAsia" w:ascii="宋体"/>
                <w:sz w:val="24"/>
                <w:szCs w:val="24"/>
              </w:rPr>
            </w:pPr>
          </w:p>
        </w:tc>
        <w:tc>
          <w:tcPr>
            <w:tcW w:w="1590" w:type="dxa"/>
            <w:vMerge w:val="restart"/>
            <w:tcBorders>
              <w:top w:val="nil"/>
              <w:left w:val="nil"/>
              <w:bottom w:val="outset" w:color="auto" w:sz="8" w:space="0"/>
              <w:right w:val="single" w:color="auto" w:sz="8" w:space="0"/>
            </w:tcBorders>
            <w:noWrap w:val="0"/>
            <w:tcMar>
              <w:left w:w="57" w:type="dxa"/>
              <w:right w:w="57" w:type="dxa"/>
            </w:tcMar>
            <w:vAlign w:val="center"/>
          </w:tcPr>
          <w:p w14:paraId="40386B3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sz w:val="20"/>
                <w:szCs w:val="20"/>
              </w:rPr>
            </w:pPr>
            <w:r>
              <w:rPr>
                <w:rFonts w:hint="eastAsia" w:ascii="楷体_GB2312" w:hAnsi="楷体_GB2312" w:eastAsia="楷体_GB2312" w:cs="楷体_GB2312"/>
                <w:kern w:val="0"/>
                <w:sz w:val="20"/>
                <w:szCs w:val="20"/>
                <w:lang w:val="en-US" w:eastAsia="zh-CN" w:bidi="ar"/>
              </w:rPr>
              <w:t>（五）不予处理</w:t>
            </w:r>
          </w:p>
        </w:tc>
        <w:tc>
          <w:tcPr>
            <w:tcW w:w="3059" w:type="dxa"/>
            <w:tcBorders>
              <w:top w:val="nil"/>
              <w:left w:val="nil"/>
              <w:bottom w:val="single" w:color="auto" w:sz="8" w:space="0"/>
              <w:right w:val="single" w:color="auto" w:sz="8" w:space="0"/>
            </w:tcBorders>
            <w:noWrap w:val="0"/>
            <w:tcMar>
              <w:left w:w="57" w:type="dxa"/>
              <w:right w:w="57" w:type="dxa"/>
            </w:tcMar>
            <w:vAlign w:val="top"/>
          </w:tcPr>
          <w:p w14:paraId="4D2827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1.信访举报投诉类申请</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82796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E8E2B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02DF1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5960E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45D10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DC319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BAEB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497FAD0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77960798">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745E6FE9">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3E22B0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2.重复申请</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A51AE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4990F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41B61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90C17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68817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30C796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7F72E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7C641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7D3C8AF4">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71C38F43">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775227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3.要求提供公开出版物</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A280F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A288C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43A41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693CB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1608D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16A459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7B1B6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699B94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26794281">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18C19DFD">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single" w:color="auto" w:sz="8" w:space="0"/>
              <w:right w:val="single" w:color="auto" w:sz="8" w:space="0"/>
            </w:tcBorders>
            <w:noWrap w:val="0"/>
            <w:tcMar>
              <w:left w:w="57" w:type="dxa"/>
              <w:right w:w="57" w:type="dxa"/>
            </w:tcMar>
            <w:vAlign w:val="top"/>
          </w:tcPr>
          <w:p w14:paraId="19119D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4.无正当理由大量反复申请</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79F16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E3D07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80E6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2D5CA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0"/>
                <w:szCs w:val="20"/>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9880D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26E484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4A3B4D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450694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7"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2C24DDC5">
            <w:pPr>
              <w:rPr>
                <w:rFonts w:hint="eastAsia" w:ascii="宋体"/>
                <w:sz w:val="24"/>
                <w:szCs w:val="24"/>
              </w:rPr>
            </w:pPr>
          </w:p>
        </w:tc>
        <w:tc>
          <w:tcPr>
            <w:tcW w:w="1590" w:type="dxa"/>
            <w:vMerge w:val="continue"/>
            <w:tcBorders>
              <w:top w:val="nil"/>
              <w:left w:val="nil"/>
              <w:bottom w:val="outset" w:color="auto" w:sz="8" w:space="0"/>
              <w:right w:val="single" w:color="auto" w:sz="8" w:space="0"/>
            </w:tcBorders>
            <w:noWrap w:val="0"/>
            <w:tcMar>
              <w:left w:w="57" w:type="dxa"/>
              <w:right w:w="57" w:type="dxa"/>
            </w:tcMar>
            <w:vAlign w:val="center"/>
          </w:tcPr>
          <w:p w14:paraId="2606EC71">
            <w:pPr>
              <w:keepNext w:val="0"/>
              <w:keepLines w:val="0"/>
              <w:pageBreakBefore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20"/>
                <w:szCs w:val="20"/>
              </w:rPr>
            </w:pPr>
          </w:p>
        </w:tc>
        <w:tc>
          <w:tcPr>
            <w:tcW w:w="3059" w:type="dxa"/>
            <w:tcBorders>
              <w:top w:val="nil"/>
              <w:left w:val="nil"/>
              <w:bottom w:val="outset" w:color="auto" w:sz="8" w:space="0"/>
              <w:right w:val="single" w:color="auto" w:sz="8" w:space="0"/>
            </w:tcBorders>
            <w:noWrap w:val="0"/>
            <w:tcMar>
              <w:left w:w="57" w:type="dxa"/>
              <w:right w:w="57" w:type="dxa"/>
            </w:tcMar>
            <w:vAlign w:val="center"/>
          </w:tcPr>
          <w:p w14:paraId="31EF6F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both"/>
              <w:textAlignment w:val="auto"/>
              <w:rPr>
                <w:rFonts w:hint="eastAsia" w:ascii="仿宋_GB2312" w:hAnsi="仿宋_GB2312" w:eastAsia="仿宋_GB2312" w:cs="仿宋_GB2312"/>
              </w:rPr>
            </w:pPr>
            <w:r>
              <w:rPr>
                <w:rFonts w:hint="eastAsia" w:ascii="仿宋_GB2312" w:hAnsi="仿宋_GB2312" w:eastAsia="仿宋_GB2312" w:cs="仿宋_GB2312"/>
                <w:kern w:val="0"/>
                <w:sz w:val="20"/>
                <w:szCs w:val="20"/>
                <w:lang w:val="en-US" w:eastAsia="zh-CN" w:bidi="ar"/>
              </w:rPr>
              <w:t>5.要求行政机关确认或重新出具已获取信息</w:t>
            </w:r>
          </w:p>
        </w:tc>
        <w:tc>
          <w:tcPr>
            <w:tcW w:w="520" w:type="dxa"/>
            <w:tcBorders>
              <w:top w:val="nil"/>
              <w:left w:val="nil"/>
              <w:bottom w:val="outset" w:color="auto" w:sz="8" w:space="0"/>
              <w:right w:val="single" w:color="auto" w:sz="8" w:space="0"/>
            </w:tcBorders>
            <w:noWrap w:val="0"/>
            <w:tcMar>
              <w:left w:w="57" w:type="dxa"/>
              <w:right w:w="57" w:type="dxa"/>
            </w:tcMar>
            <w:vAlign w:val="center"/>
          </w:tcPr>
          <w:p w14:paraId="5717C0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outset" w:color="auto" w:sz="8" w:space="0"/>
              <w:right w:val="single" w:color="auto" w:sz="8" w:space="0"/>
            </w:tcBorders>
            <w:noWrap w:val="0"/>
            <w:tcMar>
              <w:left w:w="57" w:type="dxa"/>
              <w:right w:w="57" w:type="dxa"/>
            </w:tcMar>
            <w:vAlign w:val="center"/>
          </w:tcPr>
          <w:p w14:paraId="513524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outset" w:color="auto" w:sz="8" w:space="0"/>
              <w:right w:val="single" w:color="auto" w:sz="8" w:space="0"/>
            </w:tcBorders>
            <w:noWrap w:val="0"/>
            <w:tcMar>
              <w:left w:w="57" w:type="dxa"/>
              <w:right w:w="57" w:type="dxa"/>
            </w:tcMar>
            <w:vAlign w:val="center"/>
          </w:tcPr>
          <w:p w14:paraId="185FA4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outset" w:color="auto" w:sz="8" w:space="0"/>
              <w:right w:val="single" w:color="auto" w:sz="8" w:space="0"/>
            </w:tcBorders>
            <w:noWrap w:val="0"/>
            <w:tcMar>
              <w:left w:w="57" w:type="dxa"/>
              <w:right w:w="57" w:type="dxa"/>
            </w:tcMar>
            <w:vAlign w:val="center"/>
          </w:tcPr>
          <w:p w14:paraId="55245E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outset" w:color="auto" w:sz="8" w:space="0"/>
              <w:right w:val="single" w:color="auto" w:sz="8" w:space="0"/>
            </w:tcBorders>
            <w:noWrap w:val="0"/>
            <w:tcMar>
              <w:left w:w="57" w:type="dxa"/>
              <w:right w:w="57" w:type="dxa"/>
            </w:tcMar>
            <w:vAlign w:val="center"/>
          </w:tcPr>
          <w:p w14:paraId="06D431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outset" w:color="auto" w:sz="8" w:space="0"/>
              <w:right w:val="single" w:color="auto" w:sz="8" w:space="0"/>
            </w:tcBorders>
            <w:noWrap w:val="0"/>
            <w:tcMar>
              <w:left w:w="57" w:type="dxa"/>
              <w:right w:w="57" w:type="dxa"/>
            </w:tcMar>
            <w:vAlign w:val="center"/>
          </w:tcPr>
          <w:p w14:paraId="6870BA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outset" w:color="auto" w:sz="8" w:space="0"/>
              <w:right w:val="single" w:color="auto" w:sz="8" w:space="0"/>
            </w:tcBorders>
            <w:noWrap w:val="0"/>
            <w:tcMar>
              <w:left w:w="57" w:type="dxa"/>
              <w:right w:w="57" w:type="dxa"/>
            </w:tcMar>
            <w:vAlign w:val="center"/>
          </w:tcPr>
          <w:p w14:paraId="1954C4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330DD6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50"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5EA29A0C">
            <w:pPr>
              <w:rPr>
                <w:rFonts w:hint="eastAsia" w:ascii="宋体"/>
                <w:sz w:val="24"/>
                <w:szCs w:val="24"/>
              </w:rPr>
            </w:pPr>
          </w:p>
        </w:tc>
        <w:tc>
          <w:tcPr>
            <w:tcW w:w="1590" w:type="dxa"/>
            <w:vMerge w:val="restart"/>
            <w:tcBorders>
              <w:top w:val="outset" w:color="auto" w:sz="8" w:space="0"/>
              <w:left w:val="nil"/>
              <w:bottom w:val="outset" w:color="auto" w:sz="8" w:space="0"/>
              <w:right w:val="single" w:color="auto" w:sz="8" w:space="0"/>
            </w:tcBorders>
            <w:noWrap w:val="0"/>
            <w:tcMar>
              <w:left w:w="57" w:type="dxa"/>
              <w:right w:w="57" w:type="dxa"/>
            </w:tcMar>
            <w:vAlign w:val="center"/>
          </w:tcPr>
          <w:p w14:paraId="6AD33F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sz w:val="20"/>
                <w:szCs w:val="20"/>
              </w:rPr>
            </w:pPr>
            <w:r>
              <w:rPr>
                <w:rFonts w:hint="eastAsia" w:ascii="楷体_GB2312" w:hAnsi="楷体_GB2312" w:eastAsia="楷体_GB2312" w:cs="楷体_GB2312"/>
                <w:kern w:val="0"/>
                <w:sz w:val="20"/>
                <w:szCs w:val="20"/>
                <w:lang w:val="en-US" w:eastAsia="zh-CN" w:bidi="ar"/>
              </w:rPr>
              <w:t>（六）其他处理</w:t>
            </w:r>
          </w:p>
        </w:tc>
        <w:tc>
          <w:tcPr>
            <w:tcW w:w="3059" w:type="dxa"/>
            <w:tcBorders>
              <w:top w:val="nil"/>
              <w:left w:val="nil"/>
              <w:bottom w:val="single" w:color="auto" w:sz="8" w:space="0"/>
              <w:right w:val="single" w:color="auto" w:sz="8" w:space="0"/>
            </w:tcBorders>
            <w:noWrap w:val="0"/>
            <w:tcMar>
              <w:left w:w="57" w:type="dxa"/>
              <w:right w:w="57" w:type="dxa"/>
            </w:tcMar>
            <w:vAlign w:val="center"/>
          </w:tcPr>
          <w:p w14:paraId="12130B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both"/>
              <w:textAlignment w:val="auto"/>
              <w:rPr>
                <w:rFonts w:hint="eastAsia" w:ascii="仿宋_GB2312" w:hAnsi="仿宋_GB2312" w:eastAsia="仿宋_GB2312" w:cs="仿宋_GB2312"/>
              </w:rPr>
            </w:pPr>
            <w:r>
              <w:rPr>
                <w:rFonts w:hint="eastAsia" w:ascii="仿宋_GB2312" w:hAnsi="仿宋_GB2312" w:eastAsia="仿宋_GB2312" w:cs="仿宋_GB2312"/>
                <w:kern w:val="0"/>
                <w:sz w:val="20"/>
                <w:szCs w:val="20"/>
                <w:lang w:val="en-US" w:eastAsia="zh-CN" w:bidi="ar"/>
              </w:rPr>
              <w:t>1.申请人无正当理由逾期不补正、行政机关不再处理其政府信息公开申请</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4CABA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A0E23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46CC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6EFB1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BAF28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B2E4B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4C22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09EF0CB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50"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63DAA0C9">
            <w:pPr>
              <w:rPr>
                <w:rFonts w:hint="eastAsia" w:ascii="宋体"/>
                <w:sz w:val="24"/>
                <w:szCs w:val="24"/>
              </w:rPr>
            </w:pPr>
          </w:p>
        </w:tc>
        <w:tc>
          <w:tcPr>
            <w:tcW w:w="1590" w:type="dxa"/>
            <w:vMerge w:val="continue"/>
            <w:tcBorders>
              <w:top w:val="outset" w:color="auto" w:sz="8" w:space="0"/>
              <w:left w:val="nil"/>
              <w:bottom w:val="outset" w:color="auto" w:sz="8" w:space="0"/>
              <w:right w:val="single" w:color="auto" w:sz="8" w:space="0"/>
            </w:tcBorders>
            <w:noWrap w:val="0"/>
            <w:tcMar>
              <w:left w:w="57" w:type="dxa"/>
              <w:right w:w="57" w:type="dxa"/>
            </w:tcMar>
            <w:vAlign w:val="center"/>
          </w:tcPr>
          <w:p w14:paraId="5A2F9DA7">
            <w:pPr>
              <w:rPr>
                <w:rFonts w:hint="eastAsia" w:ascii="宋体"/>
                <w:sz w:val="24"/>
                <w:szCs w:val="24"/>
              </w:rPr>
            </w:pPr>
          </w:p>
        </w:tc>
        <w:tc>
          <w:tcPr>
            <w:tcW w:w="3059" w:type="dxa"/>
            <w:tcBorders>
              <w:top w:val="nil"/>
              <w:left w:val="nil"/>
              <w:bottom w:val="single" w:color="auto" w:sz="8" w:space="0"/>
              <w:right w:val="single" w:color="auto" w:sz="8" w:space="0"/>
            </w:tcBorders>
            <w:noWrap w:val="0"/>
            <w:tcMar>
              <w:left w:w="57" w:type="dxa"/>
              <w:right w:w="57" w:type="dxa"/>
            </w:tcMar>
            <w:vAlign w:val="center"/>
          </w:tcPr>
          <w:p w14:paraId="2448FF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both"/>
              <w:textAlignment w:val="auto"/>
              <w:rPr>
                <w:rFonts w:hint="eastAsia" w:ascii="仿宋_GB2312" w:hAnsi="仿宋_GB2312" w:eastAsia="仿宋_GB2312" w:cs="仿宋_GB2312"/>
              </w:rPr>
            </w:pPr>
            <w:r>
              <w:rPr>
                <w:rFonts w:hint="eastAsia" w:ascii="仿宋_GB2312" w:hAnsi="仿宋_GB2312" w:eastAsia="仿宋_GB2312" w:cs="仿宋_GB2312"/>
                <w:kern w:val="0"/>
                <w:sz w:val="20"/>
                <w:szCs w:val="20"/>
                <w:lang w:val="en-US" w:eastAsia="zh-CN" w:bidi="ar"/>
              </w:rPr>
              <w:t>2.申请人逾期未按收费通知要求缴纳费用、行政机关不再处理其政府信息公开申请</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1A8FC4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27F56F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6E7C96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6C702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141DB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27E6B9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1D5A4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7E08A2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3E4EDDAE">
            <w:pPr>
              <w:rPr>
                <w:rFonts w:hint="eastAsia" w:ascii="宋体"/>
                <w:sz w:val="24"/>
                <w:szCs w:val="24"/>
              </w:rPr>
            </w:pPr>
          </w:p>
        </w:tc>
        <w:tc>
          <w:tcPr>
            <w:tcW w:w="1590" w:type="dxa"/>
            <w:vMerge w:val="continue"/>
            <w:tcBorders>
              <w:top w:val="outset" w:color="auto" w:sz="8" w:space="0"/>
              <w:left w:val="nil"/>
              <w:bottom w:val="outset" w:color="auto" w:sz="8" w:space="0"/>
              <w:right w:val="single" w:color="auto" w:sz="8" w:space="0"/>
            </w:tcBorders>
            <w:noWrap w:val="0"/>
            <w:tcMar>
              <w:left w:w="57" w:type="dxa"/>
              <w:right w:w="57" w:type="dxa"/>
            </w:tcMar>
            <w:vAlign w:val="center"/>
          </w:tcPr>
          <w:p w14:paraId="78B472FB">
            <w:pPr>
              <w:rPr>
                <w:rFonts w:hint="eastAsia" w:ascii="宋体"/>
                <w:sz w:val="24"/>
                <w:szCs w:val="24"/>
              </w:rPr>
            </w:pPr>
          </w:p>
        </w:tc>
        <w:tc>
          <w:tcPr>
            <w:tcW w:w="3059" w:type="dxa"/>
            <w:tcBorders>
              <w:top w:val="nil"/>
              <w:left w:val="nil"/>
              <w:bottom w:val="single" w:color="auto" w:sz="8" w:space="0"/>
              <w:right w:val="single" w:color="auto" w:sz="8" w:space="0"/>
            </w:tcBorders>
            <w:noWrap w:val="0"/>
            <w:tcMar>
              <w:left w:w="57" w:type="dxa"/>
              <w:right w:w="57" w:type="dxa"/>
            </w:tcMar>
            <w:vAlign w:val="center"/>
          </w:tcPr>
          <w:p w14:paraId="2E4C45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_GB2312" w:hAnsi="仿宋_GB2312" w:eastAsia="仿宋_GB2312" w:cs="仿宋_GB2312"/>
                <w:kern w:val="0"/>
                <w:sz w:val="20"/>
                <w:szCs w:val="20"/>
                <w:lang w:val="en-US" w:eastAsia="zh-CN" w:bidi="ar"/>
              </w:rPr>
              <w:t>3.其他</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0AA9B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A58CA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C235E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6A938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03EC7D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18D5C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28288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r>
      <w:tr w14:paraId="295EB0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778" w:type="dxa"/>
            <w:vMerge w:val="continue"/>
            <w:tcBorders>
              <w:top w:val="nil"/>
              <w:left w:val="single" w:color="auto" w:sz="8" w:space="0"/>
              <w:bottom w:val="outset" w:color="auto" w:sz="8" w:space="0"/>
              <w:right w:val="single" w:color="auto" w:sz="8" w:space="0"/>
            </w:tcBorders>
            <w:noWrap w:val="0"/>
            <w:tcMar>
              <w:left w:w="57" w:type="dxa"/>
              <w:right w:w="57" w:type="dxa"/>
            </w:tcMar>
            <w:vAlign w:val="center"/>
          </w:tcPr>
          <w:p w14:paraId="392C969D">
            <w:pPr>
              <w:rPr>
                <w:rFonts w:hint="eastAsia" w:ascii="宋体"/>
                <w:sz w:val="24"/>
                <w:szCs w:val="24"/>
              </w:rPr>
            </w:pPr>
          </w:p>
        </w:tc>
        <w:tc>
          <w:tcPr>
            <w:tcW w:w="4649" w:type="dxa"/>
            <w:gridSpan w:val="2"/>
            <w:tcBorders>
              <w:top w:val="nil"/>
              <w:left w:val="nil"/>
              <w:bottom w:val="single" w:color="auto" w:sz="8" w:space="0"/>
              <w:right w:val="single" w:color="auto" w:sz="8" w:space="0"/>
            </w:tcBorders>
            <w:noWrap w:val="0"/>
            <w:tcMar>
              <w:left w:w="57" w:type="dxa"/>
              <w:right w:w="57" w:type="dxa"/>
            </w:tcMar>
            <w:vAlign w:val="center"/>
          </w:tcPr>
          <w:p w14:paraId="384208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楷体_GB2312" w:hAnsi="楷体_GB2312" w:eastAsia="楷体_GB2312" w:cs="楷体_GB2312"/>
                <w:kern w:val="0"/>
                <w:sz w:val="20"/>
                <w:szCs w:val="20"/>
                <w:lang w:val="en-US" w:eastAsia="zh-CN" w:bidi="ar"/>
              </w:rPr>
              <w:t>（七）总计</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AF681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AE56F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2873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33B74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07382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3274ED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5A5D24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eastAsia="宋体"/>
                <w:sz w:val="20"/>
                <w:szCs w:val="20"/>
                <w:lang w:val="en-US" w:eastAsia="zh-CN"/>
              </w:rPr>
            </w:pPr>
            <w:r>
              <w:rPr>
                <w:rFonts w:hint="eastAsia"/>
                <w:sz w:val="20"/>
                <w:szCs w:val="20"/>
                <w:lang w:val="en-US" w:eastAsia="zh-CN"/>
              </w:rPr>
              <w:t>0</w:t>
            </w:r>
          </w:p>
        </w:tc>
      </w:tr>
      <w:tr w14:paraId="7DCCEC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83" w:hRule="exact"/>
          <w:jc w:val="center"/>
        </w:trPr>
        <w:tc>
          <w:tcPr>
            <w:tcW w:w="5427"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14:paraId="562EB4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黑体" w:hAnsi="黑体" w:eastAsia="黑体" w:cs="黑体"/>
                <w:kern w:val="0"/>
                <w:sz w:val="20"/>
                <w:szCs w:val="20"/>
                <w:lang w:val="en-US" w:eastAsia="zh-CN" w:bidi="ar"/>
              </w:rPr>
              <w:t>四、结转下年度继续办理</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743ED5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4331DC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516121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0"/>
                <w:szCs w:val="20"/>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6C2620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0" w:type="dxa"/>
            <w:tcBorders>
              <w:top w:val="nil"/>
              <w:left w:val="nil"/>
              <w:bottom w:val="single" w:color="auto" w:sz="8" w:space="0"/>
              <w:right w:val="single" w:color="auto" w:sz="8" w:space="0"/>
            </w:tcBorders>
            <w:noWrap w:val="0"/>
            <w:tcMar>
              <w:left w:w="57" w:type="dxa"/>
              <w:right w:w="57" w:type="dxa"/>
            </w:tcMar>
            <w:vAlign w:val="center"/>
          </w:tcPr>
          <w:p w14:paraId="3BD29A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eastAsia="宋体"/>
                <w:sz w:val="20"/>
                <w:szCs w:val="20"/>
                <w:lang w:val="en-US" w:eastAsia="zh"/>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6615AC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0"/>
                <w:szCs w:val="20"/>
              </w:rPr>
            </w:pPr>
            <w:r>
              <w:rPr>
                <w:rFonts w:hint="eastAsia" w:ascii="Times New Roman" w:hAnsi="Times New Roman" w:cs="Calibri"/>
                <w:kern w:val="0"/>
                <w:sz w:val="20"/>
                <w:szCs w:val="20"/>
                <w:lang w:val="en-US" w:eastAsia="zh" w:bidi="ar"/>
              </w:rPr>
              <w:t>0</w:t>
            </w:r>
          </w:p>
        </w:tc>
        <w:tc>
          <w:tcPr>
            <w:tcW w:w="521" w:type="dxa"/>
            <w:tcBorders>
              <w:top w:val="nil"/>
              <w:left w:val="nil"/>
              <w:bottom w:val="single" w:color="auto" w:sz="8" w:space="0"/>
              <w:right w:val="single" w:color="auto" w:sz="8" w:space="0"/>
            </w:tcBorders>
            <w:noWrap w:val="0"/>
            <w:tcMar>
              <w:left w:w="57" w:type="dxa"/>
              <w:right w:w="57" w:type="dxa"/>
            </w:tcMar>
            <w:vAlign w:val="center"/>
          </w:tcPr>
          <w:p w14:paraId="08D877C7">
            <w:pPr>
              <w:jc w:val="center"/>
              <w:rPr>
                <w:rFonts w:hint="eastAsia" w:ascii="宋体" w:eastAsia="宋体"/>
                <w:sz w:val="20"/>
                <w:szCs w:val="20"/>
                <w:lang w:val="en-US" w:eastAsia="zh"/>
              </w:rPr>
            </w:pPr>
            <w:r>
              <w:rPr>
                <w:rFonts w:hint="eastAsia" w:ascii="Times New Roman" w:hAnsi="Times New Roman"/>
                <w:sz w:val="20"/>
                <w:szCs w:val="20"/>
                <w:lang w:val="en-US" w:eastAsia="zh"/>
              </w:rPr>
              <w:t>0</w:t>
            </w:r>
          </w:p>
        </w:tc>
      </w:tr>
    </w:tbl>
    <w:p w14:paraId="113BBD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left"/>
        <w:textAlignment w:val="auto"/>
        <w:rPr>
          <w:rFonts w:hint="eastAsia" w:ascii="仿宋_GB2312" w:hAnsi="仿宋_GB2312" w:eastAsia="仿宋_GB2312" w:cs="仿宋_GB2312"/>
          <w:kern w:val="2"/>
          <w:sz w:val="32"/>
          <w:szCs w:val="32"/>
          <w:lang w:val="en-US" w:eastAsia="zh" w:bidi="ar-SA"/>
        </w:rPr>
      </w:pPr>
    </w:p>
    <w:p w14:paraId="193312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left"/>
        <w:textAlignment w:val="auto"/>
        <w:rPr>
          <w:rFonts w:hint="eastAsia" w:ascii="仿宋_GB2312" w:hAnsi="仿宋_GB2312" w:eastAsia="仿宋_GB2312" w:cs="仿宋_GB2312"/>
          <w:kern w:val="2"/>
          <w:sz w:val="32"/>
          <w:szCs w:val="32"/>
          <w:lang w:val="en-US" w:eastAsia="zh" w:bidi="ar-SA"/>
        </w:rPr>
      </w:pPr>
    </w:p>
    <w:p w14:paraId="0E1045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黑体" w:hAnsi="黑体" w:eastAsia="黑体" w:cs="黑体"/>
          <w:kern w:val="2"/>
          <w:sz w:val="32"/>
          <w:szCs w:val="32"/>
          <w:lang w:val="en-US" w:eastAsia="zh" w:bidi="ar-SA"/>
        </w:rPr>
      </w:pPr>
      <w:r>
        <w:rPr>
          <w:rFonts w:hint="eastAsia" w:ascii="黑体" w:hAnsi="黑体" w:eastAsia="黑体" w:cs="黑体"/>
          <w:kern w:val="2"/>
          <w:sz w:val="32"/>
          <w:szCs w:val="32"/>
          <w:lang w:val="en-US" w:eastAsia="zh" w:bidi="ar-SA"/>
        </w:rPr>
        <w:t>四、政府信息公开行政复议、行政诉讼情况</w:t>
      </w:r>
    </w:p>
    <w:p w14:paraId="661F21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仿宋_GB2312" w:hAnsi="仿宋_GB2312" w:eastAsia="仿宋_GB2312" w:cs="仿宋_GB2312"/>
          <w:i w:val="0"/>
          <w:caps w:val="0"/>
          <w:color w:val="333333"/>
          <w:spacing w:val="0"/>
          <w:sz w:val="32"/>
          <w:szCs w:val="32"/>
        </w:rPr>
      </w:pPr>
    </w:p>
    <w:tbl>
      <w:tblPr>
        <w:tblStyle w:val="6"/>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50"/>
        <w:gridCol w:w="650"/>
        <w:gridCol w:w="650"/>
        <w:gridCol w:w="650"/>
        <w:gridCol w:w="650"/>
        <w:gridCol w:w="650"/>
        <w:gridCol w:w="650"/>
        <w:gridCol w:w="650"/>
        <w:gridCol w:w="650"/>
        <w:gridCol w:w="650"/>
        <w:gridCol w:w="650"/>
        <w:gridCol w:w="650"/>
        <w:gridCol w:w="650"/>
      </w:tblGrid>
      <w:tr w14:paraId="57F89F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4" w:hRule="exact"/>
          <w:jc w:val="center"/>
        </w:trPr>
        <w:tc>
          <w:tcPr>
            <w:tcW w:w="3248"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F19FF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sz w:val="24"/>
                <w:szCs w:val="24"/>
              </w:rPr>
            </w:pPr>
            <w:r>
              <w:rPr>
                <w:rFonts w:hint="eastAsia" w:ascii="黑体" w:hAnsi="黑体" w:eastAsia="黑体" w:cs="黑体"/>
                <w:kern w:val="0"/>
                <w:sz w:val="24"/>
                <w:szCs w:val="24"/>
                <w:lang w:val="en-US" w:eastAsia="zh-CN" w:bidi="ar"/>
              </w:rPr>
              <w:t>行政复议</w:t>
            </w:r>
          </w:p>
        </w:tc>
        <w:tc>
          <w:tcPr>
            <w:tcW w:w="6500"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83A6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黑体" w:hAnsi="黑体" w:eastAsia="黑体" w:cs="黑体"/>
                <w:sz w:val="24"/>
                <w:szCs w:val="24"/>
              </w:rPr>
            </w:pPr>
            <w:r>
              <w:rPr>
                <w:rFonts w:hint="eastAsia" w:ascii="黑体" w:hAnsi="黑体" w:eastAsia="黑体" w:cs="黑体"/>
                <w:kern w:val="0"/>
                <w:sz w:val="24"/>
                <w:szCs w:val="24"/>
                <w:lang w:val="en-US" w:eastAsia="zh-CN" w:bidi="ar"/>
              </w:rPr>
              <w:t>行政诉讼</w:t>
            </w:r>
          </w:p>
        </w:tc>
      </w:tr>
      <w:tr w14:paraId="31B23A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40" w:hRule="exact"/>
          <w:jc w:val="center"/>
        </w:trPr>
        <w:tc>
          <w:tcPr>
            <w:tcW w:w="649"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14:paraId="03A06A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结果</w:t>
            </w:r>
          </w:p>
          <w:p w14:paraId="75BE5B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维持</w:t>
            </w:r>
          </w:p>
        </w:tc>
        <w:tc>
          <w:tcPr>
            <w:tcW w:w="649"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14:paraId="69A191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结果</w:t>
            </w:r>
          </w:p>
          <w:p w14:paraId="57A5D2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纠正</w:t>
            </w:r>
          </w:p>
        </w:tc>
        <w:tc>
          <w:tcPr>
            <w:tcW w:w="650" w:type="dxa"/>
            <w:vMerge w:val="restar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2B77B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其他</w:t>
            </w:r>
          </w:p>
          <w:p w14:paraId="45A214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结果</w:t>
            </w:r>
          </w:p>
        </w:tc>
        <w:tc>
          <w:tcPr>
            <w:tcW w:w="650" w:type="dxa"/>
            <w:vMerge w:val="restar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871FE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尚未</w:t>
            </w:r>
          </w:p>
          <w:p w14:paraId="767EE4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审结</w:t>
            </w:r>
          </w:p>
        </w:tc>
        <w:tc>
          <w:tcPr>
            <w:tcW w:w="650" w:type="dxa"/>
            <w:vMerge w:val="restar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D085F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总计</w:t>
            </w:r>
          </w:p>
        </w:tc>
        <w:tc>
          <w:tcPr>
            <w:tcW w:w="325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BC05C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未经复议直接起诉</w:t>
            </w:r>
          </w:p>
        </w:tc>
        <w:tc>
          <w:tcPr>
            <w:tcW w:w="325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8EED8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复议后起诉</w:t>
            </w:r>
          </w:p>
        </w:tc>
      </w:tr>
      <w:tr w14:paraId="23E24C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9"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14:paraId="55D88A56">
            <w:pPr>
              <w:rPr>
                <w:rFonts w:hint="eastAsia" w:ascii="仿宋_GB2312" w:hAnsi="仿宋_GB2312" w:eastAsia="仿宋_GB2312" w:cs="仿宋_GB2312"/>
                <w:sz w:val="20"/>
                <w:szCs w:val="20"/>
              </w:rPr>
            </w:pPr>
          </w:p>
        </w:tc>
        <w:tc>
          <w:tcPr>
            <w:tcW w:w="649"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14:paraId="169CD7A3">
            <w:pPr>
              <w:rPr>
                <w:rFonts w:hint="eastAsia" w:ascii="仿宋_GB2312" w:hAnsi="仿宋_GB2312" w:eastAsia="仿宋_GB2312" w:cs="仿宋_GB2312"/>
                <w:sz w:val="20"/>
                <w:szCs w:val="20"/>
              </w:rPr>
            </w:pPr>
          </w:p>
        </w:tc>
        <w:tc>
          <w:tcPr>
            <w:tcW w:w="650" w:type="dxa"/>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7E0FC84">
            <w:pPr>
              <w:rPr>
                <w:rFonts w:hint="eastAsia" w:ascii="仿宋_GB2312" w:hAnsi="仿宋_GB2312" w:eastAsia="仿宋_GB2312" w:cs="仿宋_GB2312"/>
                <w:sz w:val="20"/>
                <w:szCs w:val="20"/>
              </w:rPr>
            </w:pPr>
          </w:p>
        </w:tc>
        <w:tc>
          <w:tcPr>
            <w:tcW w:w="650" w:type="dxa"/>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2B1A18D">
            <w:pPr>
              <w:rPr>
                <w:rFonts w:hint="eastAsia" w:ascii="仿宋_GB2312" w:hAnsi="仿宋_GB2312" w:eastAsia="仿宋_GB2312" w:cs="仿宋_GB2312"/>
                <w:sz w:val="20"/>
                <w:szCs w:val="20"/>
              </w:rPr>
            </w:pPr>
          </w:p>
        </w:tc>
        <w:tc>
          <w:tcPr>
            <w:tcW w:w="650" w:type="dxa"/>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6466E94">
            <w:pPr>
              <w:rPr>
                <w:rFonts w:hint="eastAsia" w:ascii="仿宋_GB2312" w:hAnsi="仿宋_GB2312" w:eastAsia="仿宋_GB2312" w:cs="仿宋_GB2312"/>
                <w:sz w:val="20"/>
                <w:szCs w:val="20"/>
              </w:rPr>
            </w:pP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2C3D83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结果</w:t>
            </w:r>
          </w:p>
          <w:p w14:paraId="07D5B9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维持</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1674B3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结果</w:t>
            </w:r>
          </w:p>
          <w:p w14:paraId="51105B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纠正</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C84D8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其他</w:t>
            </w:r>
          </w:p>
          <w:p w14:paraId="715ACF1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结果</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408F581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尚未</w:t>
            </w:r>
          </w:p>
          <w:p w14:paraId="17B262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审结</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31DD3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color w:val="000000"/>
                <w:kern w:val="0"/>
                <w:sz w:val="20"/>
                <w:szCs w:val="20"/>
                <w:lang w:val="en-US" w:eastAsia="zh-CN" w:bidi="ar"/>
              </w:rPr>
              <w:t>总计</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1A8D61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结果</w:t>
            </w:r>
          </w:p>
          <w:p w14:paraId="73C624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维持</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B7492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结果</w:t>
            </w:r>
          </w:p>
          <w:p w14:paraId="413B5A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纠正</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892ED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color w:val="000000"/>
                <w:kern w:val="0"/>
                <w:sz w:val="20"/>
                <w:szCs w:val="20"/>
                <w:lang w:val="en-US" w:eastAsia="zh-CN" w:bidi="ar"/>
              </w:rPr>
            </w:pPr>
            <w:r>
              <w:rPr>
                <w:rFonts w:hint="eastAsia" w:ascii="仿宋_GB2312" w:hAnsi="仿宋_GB2312" w:eastAsia="仿宋_GB2312" w:cs="仿宋_GB2312"/>
                <w:color w:val="000000"/>
                <w:kern w:val="0"/>
                <w:sz w:val="20"/>
                <w:szCs w:val="20"/>
                <w:lang w:val="en-US" w:eastAsia="zh-CN" w:bidi="ar"/>
              </w:rPr>
              <w:t>其他</w:t>
            </w:r>
          </w:p>
          <w:p w14:paraId="419AB6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color w:val="000000"/>
                <w:kern w:val="0"/>
                <w:sz w:val="20"/>
                <w:szCs w:val="20"/>
                <w:lang w:val="en-US" w:eastAsia="zh-CN" w:bidi="ar"/>
              </w:rPr>
              <w:t>结果</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C9F26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kern w:val="0"/>
                <w:sz w:val="20"/>
                <w:szCs w:val="20"/>
                <w:lang w:val="en-US" w:eastAsia="zh-CN" w:bidi="ar"/>
              </w:rPr>
            </w:pPr>
            <w:r>
              <w:rPr>
                <w:rFonts w:hint="eastAsia" w:ascii="仿宋_GB2312" w:hAnsi="仿宋_GB2312" w:eastAsia="仿宋_GB2312" w:cs="仿宋_GB2312"/>
                <w:kern w:val="0"/>
                <w:sz w:val="20"/>
                <w:szCs w:val="20"/>
                <w:lang w:val="en-US" w:eastAsia="zh-CN" w:bidi="ar"/>
              </w:rPr>
              <w:t>尚未</w:t>
            </w:r>
          </w:p>
          <w:p w14:paraId="7FA504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kern w:val="0"/>
                <w:sz w:val="20"/>
                <w:szCs w:val="20"/>
                <w:lang w:val="en-US" w:eastAsia="zh-CN" w:bidi="ar"/>
              </w:rPr>
              <w:t>审结</w:t>
            </w:r>
          </w:p>
        </w:tc>
        <w:tc>
          <w:tcPr>
            <w:tcW w:w="650"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EB782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仿宋_GB2312" w:hAnsi="仿宋_GB2312" w:eastAsia="仿宋_GB2312" w:cs="仿宋_GB2312"/>
                <w:sz w:val="20"/>
                <w:szCs w:val="20"/>
              </w:rPr>
            </w:pPr>
            <w:r>
              <w:rPr>
                <w:rFonts w:hint="eastAsia" w:ascii="仿宋_GB2312" w:hAnsi="仿宋_GB2312" w:eastAsia="仿宋_GB2312" w:cs="仿宋_GB2312"/>
                <w:color w:val="000000"/>
                <w:kern w:val="0"/>
                <w:sz w:val="20"/>
                <w:szCs w:val="20"/>
                <w:lang w:val="en-US" w:eastAsia="zh-CN" w:bidi="ar"/>
              </w:rPr>
              <w:t>总计</w:t>
            </w:r>
          </w:p>
        </w:tc>
      </w:tr>
      <w:tr w14:paraId="3091409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54" w:hRule="exact"/>
          <w:jc w:val="center"/>
        </w:trPr>
        <w:tc>
          <w:tcPr>
            <w:tcW w:w="649"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87A3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rPr>
            </w:pPr>
            <w:r>
              <w:rPr>
                <w:rFonts w:hint="default" w:ascii="Times New Roman" w:hAnsi="Times New Roman" w:eastAsia="仿宋_GB2312" w:cs="Times New Roman"/>
                <w:kern w:val="0"/>
                <w:sz w:val="20"/>
                <w:szCs w:val="20"/>
                <w:lang w:val="en-US" w:eastAsia="zh" w:bidi="ar"/>
              </w:rPr>
              <w:t>0</w:t>
            </w:r>
          </w:p>
        </w:tc>
        <w:tc>
          <w:tcPr>
            <w:tcW w:w="649"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F639A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70B6DB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369DC8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96EA9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201D0C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z w:val="20"/>
                <w:szCs w:val="20"/>
                <w:lang w:val="en-US" w:eastAsia="zh-CN"/>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382987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622F0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77A9AF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32DFF9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522853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75C27A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08F426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5098B3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kern w:val="0"/>
                <w:sz w:val="20"/>
                <w:szCs w:val="20"/>
                <w:lang w:val="en-US" w:eastAsia="zh" w:bidi="ar"/>
              </w:rPr>
              <w:t>0</w:t>
            </w:r>
          </w:p>
        </w:tc>
        <w:tc>
          <w:tcPr>
            <w:tcW w:w="650" w:type="dxa"/>
            <w:tcBorders>
              <w:top w:val="nil"/>
              <w:left w:val="single" w:color="auto" w:sz="8" w:space="0"/>
              <w:bottom w:val="single" w:color="auto" w:sz="8" w:space="0"/>
              <w:right w:val="single" w:color="auto" w:sz="8" w:space="0"/>
            </w:tcBorders>
            <w:noWrap w:val="0"/>
            <w:tcMar>
              <w:left w:w="108" w:type="dxa"/>
              <w:right w:w="108" w:type="dxa"/>
            </w:tcMar>
            <w:vAlign w:val="center"/>
          </w:tcPr>
          <w:p w14:paraId="1838EA9B">
            <w:pPr>
              <w:jc w:val="center"/>
              <w:rPr>
                <w:rFonts w:hint="default" w:ascii="Times New Roman" w:hAnsi="Times New Roman" w:eastAsia="仿宋_GB2312" w:cs="Times New Roman"/>
                <w:sz w:val="20"/>
                <w:szCs w:val="20"/>
                <w:lang w:val="en-US" w:eastAsia="zh"/>
              </w:rPr>
            </w:pPr>
            <w:r>
              <w:rPr>
                <w:rFonts w:hint="default" w:ascii="Times New Roman" w:hAnsi="Times New Roman" w:eastAsia="仿宋_GB2312" w:cs="Times New Roman"/>
                <w:sz w:val="20"/>
                <w:szCs w:val="20"/>
                <w:lang w:val="en-US" w:eastAsia="zh"/>
              </w:rPr>
              <w:t>0</w:t>
            </w:r>
          </w:p>
        </w:tc>
      </w:tr>
    </w:tbl>
    <w:p w14:paraId="6E0223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黑体" w:hAnsi="黑体" w:eastAsia="黑体" w:cs="黑体"/>
          <w:kern w:val="2"/>
          <w:sz w:val="32"/>
          <w:szCs w:val="32"/>
          <w:lang w:val="en-US" w:eastAsia="zh" w:bidi="ar-SA"/>
        </w:rPr>
      </w:pPr>
    </w:p>
    <w:p w14:paraId="1CA4C3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kern w:val="2"/>
          <w:sz w:val="32"/>
          <w:szCs w:val="32"/>
          <w:lang w:val="en-US" w:eastAsia="zh" w:bidi="ar-SA"/>
        </w:rPr>
      </w:pPr>
      <w:r>
        <w:rPr>
          <w:rFonts w:hint="eastAsia" w:ascii="黑体" w:hAnsi="黑体" w:eastAsia="黑体" w:cs="黑体"/>
          <w:kern w:val="2"/>
          <w:sz w:val="32"/>
          <w:szCs w:val="32"/>
          <w:lang w:val="en-US" w:eastAsia="zh" w:bidi="ar-SA"/>
        </w:rPr>
        <w:t>五、存在的主要问题及改进情况</w:t>
      </w:r>
    </w:p>
    <w:p w14:paraId="29D6A1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202</w:t>
      </w:r>
      <w:r>
        <w:rPr>
          <w:rFonts w:hint="eastAsia" w:ascii="Times New Roman" w:hAnsi="Times New Roman" w:eastAsia="仿宋_GB2312" w:cs="Times New Roman"/>
          <w:color w:val="auto"/>
          <w:kern w:val="2"/>
          <w:sz w:val="32"/>
          <w:szCs w:val="32"/>
          <w:lang w:val="en-US" w:eastAsia="zh-CN" w:bidi="ar-SA"/>
        </w:rPr>
        <w:t>4</w:t>
      </w:r>
      <w:r>
        <w:rPr>
          <w:rFonts w:hint="eastAsia" w:ascii="仿宋_GB2312" w:hAnsi="仿宋_GB2312" w:eastAsia="仿宋_GB2312" w:cs="仿宋_GB2312"/>
          <w:color w:val="auto"/>
          <w:kern w:val="2"/>
          <w:sz w:val="32"/>
          <w:szCs w:val="32"/>
          <w:lang w:val="en-US" w:eastAsia="zh-CN" w:bidi="ar-SA"/>
        </w:rPr>
        <w:t>年，区供销社严格按照上级要求，积极完成各项信息公开任务，工作顺利推进，但部分的信息栏目更新频率有待提升，公开内容质量和数量等方面仍需进一步加强。</w:t>
      </w:r>
    </w:p>
    <w:p w14:paraId="117994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一是加强信息公开力度，在拓宽渠道上下功夫。</w:t>
      </w:r>
      <w:r>
        <w:rPr>
          <w:rFonts w:hint="default" w:ascii="仿宋_GB2312" w:hAnsi="仿宋_GB2312" w:eastAsia="仿宋_GB2312" w:cs="仿宋_GB2312"/>
          <w:sz w:val="32"/>
          <w:szCs w:val="32"/>
          <w:lang w:val="en-US" w:eastAsia="zh-CN"/>
        </w:rPr>
        <w:t>注重多渠道收集信息，完善政府信息公开内容，特别关注三农、民生、服务等相关领域的信息采集与汇编工作，提升</w:t>
      </w:r>
      <w:r>
        <w:rPr>
          <w:rFonts w:hint="eastAsia" w:ascii="仿宋_GB2312" w:hAnsi="仿宋_GB2312" w:eastAsia="仿宋_GB2312" w:cs="仿宋_GB2312"/>
          <w:sz w:val="32"/>
          <w:szCs w:val="32"/>
          <w:lang w:val="en-US" w:eastAsia="zh-CN"/>
        </w:rPr>
        <w:t>供销社及</w:t>
      </w:r>
      <w:r>
        <w:rPr>
          <w:rFonts w:hint="default" w:ascii="仿宋_GB2312" w:hAnsi="仿宋_GB2312" w:eastAsia="仿宋_GB2312" w:cs="仿宋_GB2312"/>
          <w:sz w:val="32"/>
          <w:szCs w:val="32"/>
          <w:lang w:val="en-US" w:eastAsia="zh-CN"/>
        </w:rPr>
        <w:t>农合联在农民群众</w:t>
      </w:r>
      <w:r>
        <w:rPr>
          <w:rFonts w:hint="eastAsia" w:ascii="仿宋_GB2312" w:hAnsi="仿宋_GB2312" w:eastAsia="仿宋_GB2312" w:cs="仿宋_GB2312"/>
          <w:sz w:val="32"/>
          <w:szCs w:val="32"/>
          <w:lang w:val="en-US" w:eastAsia="zh-CN"/>
        </w:rPr>
        <w:t>心中的知晓度和影响力。二</w:t>
      </w:r>
      <w:r>
        <w:rPr>
          <w:rFonts w:hint="eastAsia" w:ascii="楷体_GB2312" w:hAnsi="楷体_GB2312" w:eastAsia="楷体_GB2312" w:cs="楷体_GB2312"/>
          <w:color w:val="auto"/>
          <w:sz w:val="32"/>
          <w:szCs w:val="32"/>
          <w:lang w:val="en-US" w:eastAsia="zh-CN"/>
        </w:rPr>
        <w:t>是加强热点公开，在完善监督上下功夫。</w:t>
      </w:r>
      <w:r>
        <w:rPr>
          <w:rFonts w:hint="eastAsia" w:ascii="仿宋_GB2312" w:hAnsi="仿宋_GB2312" w:eastAsia="仿宋_GB2312" w:cs="仿宋_GB2312"/>
          <w:color w:val="auto"/>
          <w:sz w:val="32"/>
          <w:szCs w:val="32"/>
          <w:lang w:val="en-US" w:eastAsia="zh-CN"/>
        </w:rPr>
        <w:t>信息公开的热点是人、财、物的公开，及时向公众公开并接受监督。围绕信息公开工作经常化、制度化、规范化，形成便利实用、约束力强的监督制约机制。</w:t>
      </w:r>
    </w:p>
    <w:p w14:paraId="7C9773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黑体" w:hAnsi="黑体" w:eastAsia="黑体" w:cs="黑体"/>
          <w:kern w:val="2"/>
          <w:sz w:val="32"/>
          <w:szCs w:val="32"/>
          <w:lang w:val="en-US" w:eastAsia="zh-CN" w:bidi="ar-SA"/>
        </w:rPr>
        <w:t>六、其他需要报告的事项</w:t>
      </w:r>
    </w:p>
    <w:p w14:paraId="240B4397">
      <w:pPr>
        <w:pStyle w:val="4"/>
        <w:keepNext w:val="0"/>
        <w:keepLines w:val="0"/>
        <w:widowControl/>
        <w:numPr>
          <w:ilvl w:val="0"/>
          <w:numId w:val="0"/>
        </w:numPr>
        <w:suppressLineNumbers w:val="0"/>
        <w:spacing w:before="0" w:beforeAutospacing="0" w:after="0" w:afterAutospacing="0" w:line="420" w:lineRule="atLeast"/>
        <w:ind w:right="0" w:rightChars="0" w:firstLine="640" w:firstLineChars="200"/>
        <w:rPr>
          <w:rFonts w:hint="default" w:ascii="Times New Roman" w:hAnsi="Times New Roman" w:eastAsia="仿宋_GB2312" w:cs="Times New Roman"/>
          <w:color w:val="auto"/>
          <w:sz w:val="32"/>
          <w:szCs w:val="32"/>
          <w:lang w:val="en-US" w:eastAsia="zh-CN"/>
        </w:rPr>
      </w:pPr>
      <w:r>
        <w:rPr>
          <w:rFonts w:hint="eastAsia" w:ascii="仿宋_GB2312" w:hAnsi="仿宋_GB2312" w:eastAsia="仿宋_GB2312" w:cs="仿宋_GB2312"/>
          <w:sz w:val="32"/>
          <w:szCs w:val="32"/>
          <w:lang w:val="en-US" w:eastAsia="zh-CN"/>
        </w:rPr>
        <w:t>一年来，未发生针对本单位有关政府信息公开事务的行政复议案及行政诉讼案，以及举报、投诉、泄密、信息公开应急事件等情况。全年没有发生因政务公开工作被追究责任的情况。</w:t>
      </w:r>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EBBA8"/>
    <w:multiLevelType w:val="singleLevel"/>
    <w:tmpl w:val="FFFEBBA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5EEC500"/>
    <w:rsid w:val="17E31D2B"/>
    <w:rsid w:val="1EFF3C9B"/>
    <w:rsid w:val="1FF2A499"/>
    <w:rsid w:val="1FFDC46A"/>
    <w:rsid w:val="25DF1C70"/>
    <w:rsid w:val="2ACFC06C"/>
    <w:rsid w:val="2FC72B66"/>
    <w:rsid w:val="32FEEB17"/>
    <w:rsid w:val="35AFFADB"/>
    <w:rsid w:val="3B77C84E"/>
    <w:rsid w:val="3E5BBF41"/>
    <w:rsid w:val="3FAF92C2"/>
    <w:rsid w:val="3FCF13C5"/>
    <w:rsid w:val="3FDF3356"/>
    <w:rsid w:val="4ABBB906"/>
    <w:rsid w:val="4E87BD2F"/>
    <w:rsid w:val="56FF7A0D"/>
    <w:rsid w:val="59FD6FCE"/>
    <w:rsid w:val="5BE7811B"/>
    <w:rsid w:val="5BFBF48B"/>
    <w:rsid w:val="5BFF9828"/>
    <w:rsid w:val="5D7F6644"/>
    <w:rsid w:val="5FD4A5DC"/>
    <w:rsid w:val="5FE7E97A"/>
    <w:rsid w:val="5FF72759"/>
    <w:rsid w:val="5FF7836C"/>
    <w:rsid w:val="5FFBBDE0"/>
    <w:rsid w:val="621EEA2D"/>
    <w:rsid w:val="63FDE43C"/>
    <w:rsid w:val="67ADFE56"/>
    <w:rsid w:val="67DE195C"/>
    <w:rsid w:val="69EBE38C"/>
    <w:rsid w:val="6DFFD62E"/>
    <w:rsid w:val="6FB7491E"/>
    <w:rsid w:val="6FF24B2B"/>
    <w:rsid w:val="6FFB769D"/>
    <w:rsid w:val="6FFD00C4"/>
    <w:rsid w:val="729E747F"/>
    <w:rsid w:val="73BF2768"/>
    <w:rsid w:val="750FD6EF"/>
    <w:rsid w:val="76A31F7E"/>
    <w:rsid w:val="76EFEE1C"/>
    <w:rsid w:val="77FD521D"/>
    <w:rsid w:val="789ABF22"/>
    <w:rsid w:val="78A46C56"/>
    <w:rsid w:val="7BBF220F"/>
    <w:rsid w:val="7BEE35DC"/>
    <w:rsid w:val="7BFF4810"/>
    <w:rsid w:val="7CB1BF65"/>
    <w:rsid w:val="7D987BC6"/>
    <w:rsid w:val="7DF7C2BC"/>
    <w:rsid w:val="7E849DF4"/>
    <w:rsid w:val="7EBFC6BB"/>
    <w:rsid w:val="7EEEF4C2"/>
    <w:rsid w:val="7EF507D0"/>
    <w:rsid w:val="7EFF9D11"/>
    <w:rsid w:val="7F3705F1"/>
    <w:rsid w:val="7F76E922"/>
    <w:rsid w:val="7FB7B165"/>
    <w:rsid w:val="7FD71CC5"/>
    <w:rsid w:val="7FFB3CDE"/>
    <w:rsid w:val="7FFF5D65"/>
    <w:rsid w:val="7FFFF2CE"/>
    <w:rsid w:val="91F7568F"/>
    <w:rsid w:val="94DFD8F2"/>
    <w:rsid w:val="95FDEF24"/>
    <w:rsid w:val="97B13C66"/>
    <w:rsid w:val="9B9AB79B"/>
    <w:rsid w:val="9DFF4C53"/>
    <w:rsid w:val="ADDF2FA7"/>
    <w:rsid w:val="AE6F9926"/>
    <w:rsid w:val="B57F694D"/>
    <w:rsid w:val="B63D7DD7"/>
    <w:rsid w:val="B77FDB4E"/>
    <w:rsid w:val="B7FD5737"/>
    <w:rsid w:val="BA3F4841"/>
    <w:rsid w:val="BDFF1CEC"/>
    <w:rsid w:val="BFBEEE79"/>
    <w:rsid w:val="BFEF8D6D"/>
    <w:rsid w:val="BFFDD516"/>
    <w:rsid w:val="CB56BE5B"/>
    <w:rsid w:val="CE7D9D1A"/>
    <w:rsid w:val="D2CB9729"/>
    <w:rsid w:val="D7EF81E1"/>
    <w:rsid w:val="D9FBD74D"/>
    <w:rsid w:val="DB3BF205"/>
    <w:rsid w:val="DB5C34C4"/>
    <w:rsid w:val="DBFF8603"/>
    <w:rsid w:val="DDFF108E"/>
    <w:rsid w:val="DF7D9D17"/>
    <w:rsid w:val="DF97F771"/>
    <w:rsid w:val="E3F737C2"/>
    <w:rsid w:val="EA9B8279"/>
    <w:rsid w:val="EE3F9DCE"/>
    <w:rsid w:val="EF5DAE19"/>
    <w:rsid w:val="EFBDA044"/>
    <w:rsid w:val="F13FB82C"/>
    <w:rsid w:val="F5EEC500"/>
    <w:rsid w:val="F66EA22C"/>
    <w:rsid w:val="F6ADBF2D"/>
    <w:rsid w:val="F6E5D2F5"/>
    <w:rsid w:val="F6FFB821"/>
    <w:rsid w:val="F7EC57CE"/>
    <w:rsid w:val="F7FA59C8"/>
    <w:rsid w:val="F9FE5686"/>
    <w:rsid w:val="FB6F5F7F"/>
    <w:rsid w:val="FB75085A"/>
    <w:rsid w:val="FBDFE15C"/>
    <w:rsid w:val="FBEFCD68"/>
    <w:rsid w:val="FBF658DB"/>
    <w:rsid w:val="FCF6C838"/>
    <w:rsid w:val="FD7FA7B4"/>
    <w:rsid w:val="FDFFF160"/>
    <w:rsid w:val="FE75D06C"/>
    <w:rsid w:val="FF5D1CCC"/>
    <w:rsid w:val="FF67813D"/>
    <w:rsid w:val="FF9B08CE"/>
    <w:rsid w:val="FF9F0741"/>
    <w:rsid w:val="FFD7C62D"/>
    <w:rsid w:val="FFD7FA49"/>
    <w:rsid w:val="FFEC381F"/>
    <w:rsid w:val="FFEC9AB2"/>
    <w:rsid w:val="FFF4E055"/>
    <w:rsid w:val="FFFB1B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eastAsia="仿宋"/>
    </w:rPr>
  </w:style>
  <w:style w:type="paragraph" w:styleId="3">
    <w:name w:val="Body Text Indent"/>
    <w:basedOn w:val="1"/>
    <w:next w:val="2"/>
    <w:unhideWhenUsed/>
    <w:qFormat/>
    <w:uiPriority w:val="99"/>
    <w:pPr>
      <w:spacing w:after="120"/>
      <w:ind w:left="420" w:leftChars="200"/>
    </w:pPr>
    <w:rPr>
      <w:rFonts w:hint="default"/>
      <w:sz w:val="21"/>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5">
    <w:name w:val="Body Text First Indent 2"/>
    <w:basedOn w:val="3"/>
    <w:qFormat/>
    <w:uiPriority w:val="99"/>
    <w:pPr>
      <w:ind w:firstLine="420" w:firstLineChars="200"/>
    </w:pPr>
  </w:style>
  <w:style w:type="paragraph" w:customStyle="1" w:styleId="8">
    <w:name w:val="正文缩进1"/>
    <w:basedOn w:val="1"/>
    <w:qFormat/>
    <w:uiPriority w:val="99"/>
    <w:pPr>
      <w:ind w:firstLine="420" w:firstLineChars="200"/>
    </w:pPr>
    <w:rPr>
      <w:rFonts w:ascii="Times New Roman" w:hAnsi="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1253</Words>
  <Characters>1291</Characters>
  <Lines>0</Lines>
  <Paragraphs>0</Paragraphs>
  <TotalTime>901</TotalTime>
  <ScaleCrop>false</ScaleCrop>
  <LinksUpToDate>false</LinksUpToDate>
  <CharactersWithSpaces>1291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2022-01-07T14:01:00Z</dcterms:created>
  <dc:creator>thtf</dc:creator>
  <cp:lastModifiedBy>WPS_1668775272</cp:lastModifiedBy>
  <cp:lastPrinted>2025-01-03T08:47:00Z</cp:lastPrinted>
  <dcterms:modified xsi:type="dcterms:W3CDTF">2025-02-07T02:20:33Z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0CADC3C4311628C55384626716325DBE_43</vt:lpwstr>
  </property>
  <property fmtid="{D5CDD505-2E9C-101B-9397-08002B2CF9AE}" pid="4" name="KSOTemplateDocerSaveRecord">
    <vt:lpwstr>eyJoZGlkIjoiNzE4ZDU3ZTE2ZGU3OTFiZjhjN2NhNDQyMDJhZjFmZTciLCJ1c2VySWQiOiIxNDQzODUwNjU3In0=</vt:lpwstr>
  </property>
</Properties>
</file>