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36"/>
          <w:szCs w:val="36"/>
          <w:lang w:eastAsia="zh-CN"/>
        </w:rPr>
      </w:pPr>
      <w:r>
        <w:rPr>
          <w:rFonts w:hint="eastAsia" w:ascii="微软雅黑" w:hAnsi="微软雅黑" w:eastAsia="微软雅黑" w:cs="微软雅黑"/>
          <w:sz w:val="48"/>
          <w:szCs w:val="48"/>
          <w:lang w:val="en-US" w:eastAsia="zh-CN"/>
        </w:rPr>
        <w:t>2023年度</w:t>
      </w:r>
      <w:r>
        <w:rPr>
          <w:rFonts w:hint="eastAsia" w:ascii="微软雅黑" w:hAnsi="微软雅黑" w:eastAsia="微软雅黑" w:cs="微软雅黑"/>
          <w:sz w:val="48"/>
          <w:szCs w:val="48"/>
          <w:lang w:eastAsia="zh-CN"/>
        </w:rPr>
        <w:t>新碶街道办事处</w:t>
      </w:r>
    </w:p>
    <w:p>
      <w:pPr>
        <w:jc w:val="center"/>
        <w:rPr>
          <w:rFonts w:hint="eastAsia" w:ascii="微软雅黑" w:hAnsi="微软雅黑" w:eastAsia="微软雅黑" w:cs="微软雅黑"/>
          <w:sz w:val="48"/>
          <w:szCs w:val="48"/>
          <w:lang w:eastAsia="zh-CN"/>
        </w:rPr>
      </w:pPr>
      <w:r>
        <w:rPr>
          <w:rFonts w:hint="eastAsia" w:ascii="微软雅黑" w:hAnsi="微软雅黑" w:eastAsia="微软雅黑" w:cs="微软雅黑"/>
          <w:sz w:val="48"/>
          <w:szCs w:val="48"/>
          <w:lang w:eastAsia="zh-CN"/>
        </w:rPr>
        <w:t>政</w:t>
      </w:r>
      <w:r>
        <w:rPr>
          <w:rFonts w:hint="eastAsia" w:ascii="微软雅黑" w:hAnsi="微软雅黑" w:eastAsia="微软雅黑" w:cs="微软雅黑"/>
          <w:sz w:val="48"/>
          <w:szCs w:val="48"/>
          <w:lang w:val="en-US" w:eastAsia="zh-CN"/>
        </w:rPr>
        <w:t>府信息</w:t>
      </w:r>
      <w:r>
        <w:rPr>
          <w:rFonts w:hint="eastAsia" w:ascii="微软雅黑" w:hAnsi="微软雅黑" w:eastAsia="微软雅黑" w:cs="微软雅黑"/>
          <w:sz w:val="48"/>
          <w:szCs w:val="48"/>
          <w:lang w:eastAsia="zh-CN"/>
        </w:rPr>
        <w:t>公开工作年度报告</w:t>
      </w:r>
    </w:p>
    <w:p>
      <w:pPr>
        <w:rPr>
          <w:rFonts w:hint="eastAsia" w:ascii="微软雅黑" w:hAnsi="微软雅黑" w:eastAsia="微软雅黑" w:cs="微软雅黑"/>
          <w:lang w:eastAsia="zh-CN"/>
        </w:rPr>
      </w:pPr>
    </w:p>
    <w:p>
      <w:pPr>
        <w:pStyle w:val="2"/>
        <w:ind w:firstLine="480" w:firstLineChars="200"/>
        <w:rPr>
          <w:rFonts w:hint="default" w:ascii="微软雅黑" w:hAnsi="微软雅黑" w:eastAsia="微软雅黑" w:cs="微软雅黑"/>
          <w:i w:val="0"/>
          <w:kern w:val="2"/>
          <w:sz w:val="24"/>
          <w:szCs w:val="24"/>
          <w:lang w:val="en-US" w:eastAsia="zh-CN" w:bidi="ar-SA"/>
        </w:rPr>
      </w:pPr>
      <w:r>
        <w:rPr>
          <w:rFonts w:hint="default" w:ascii="微软雅黑" w:hAnsi="微软雅黑" w:eastAsia="微软雅黑" w:cs="微软雅黑"/>
          <w:i w:val="0"/>
          <w:kern w:val="2"/>
          <w:sz w:val="24"/>
          <w:szCs w:val="24"/>
          <w:lang w:val="en-US" w:eastAsia="zh-CN" w:bidi="ar-SA"/>
        </w:rPr>
        <w:t>本</w:t>
      </w:r>
      <w:r>
        <w:rPr>
          <w:rFonts w:hint="eastAsia" w:ascii="微软雅黑" w:hAnsi="微软雅黑" w:eastAsia="微软雅黑" w:cs="微软雅黑"/>
          <w:i w:val="0"/>
          <w:kern w:val="2"/>
          <w:sz w:val="24"/>
          <w:szCs w:val="24"/>
          <w:lang w:val="en-US" w:eastAsia="zh-CN" w:bidi="ar-SA"/>
        </w:rPr>
        <w:t>年度</w:t>
      </w:r>
      <w:r>
        <w:rPr>
          <w:rFonts w:hint="default" w:ascii="微软雅黑" w:hAnsi="微软雅黑" w:eastAsia="微软雅黑" w:cs="微软雅黑"/>
          <w:i w:val="0"/>
          <w:kern w:val="2"/>
          <w:sz w:val="24"/>
          <w:szCs w:val="24"/>
          <w:lang w:val="en-US" w:eastAsia="zh-CN" w:bidi="ar-SA"/>
        </w:rPr>
        <w:t>报告根据《中华人民共和国政府信息公开条例》（国务院令第711号）和</w:t>
      </w:r>
      <w:bookmarkStart w:id="0" w:name="_GoBack"/>
      <w:bookmarkEnd w:id="0"/>
      <w:r>
        <w:rPr>
          <w:rFonts w:hint="default" w:ascii="微软雅黑" w:hAnsi="微软雅黑" w:eastAsia="微软雅黑" w:cs="微软雅黑"/>
          <w:i w:val="0"/>
          <w:kern w:val="2"/>
          <w:sz w:val="24"/>
          <w:szCs w:val="24"/>
          <w:lang w:val="en-US" w:eastAsia="zh-CN" w:bidi="ar-SA"/>
        </w:rPr>
        <w:t>国务院办公厅政府信息与政务公开办公室关于印发《中华人民共和国政府信息公开工作年度报告格式》的通知（国办公开办函〔2021〕30号）文件要求编制。</w:t>
      </w:r>
      <w:r>
        <w:rPr>
          <w:rFonts w:hint="default" w:ascii="微软雅黑" w:hAnsi="微软雅黑" w:eastAsia="微软雅黑" w:cs="微软雅黑"/>
          <w:b w:val="0"/>
          <w:bCs w:val="0"/>
          <w:i w:val="0"/>
          <w:kern w:val="2"/>
          <w:sz w:val="28"/>
          <w:szCs w:val="28"/>
          <w:lang w:val="en-US" w:eastAsia="zh-CN" w:bidi="ar-SA"/>
        </w:rPr>
        <w:t>全文包含总体情况、主动公开政府信息情况、收到和处理政府信息公开申请情况、因政府信息公开工作被申请行政复议、提起行政诉讼情况、政府信息公开工作存在的主要问题及改进情况、其他需要报告的事项六个方面。</w:t>
      </w:r>
      <w:r>
        <w:rPr>
          <w:rFonts w:hint="default" w:ascii="微软雅黑" w:hAnsi="微软雅黑" w:eastAsia="微软雅黑" w:cs="微软雅黑"/>
          <w:i w:val="0"/>
          <w:kern w:val="2"/>
          <w:sz w:val="24"/>
          <w:szCs w:val="24"/>
          <w:lang w:val="en-US" w:eastAsia="zh-CN" w:bidi="ar-SA"/>
        </w:rPr>
        <w:t>本报告所列数据的统计期限自2023年1月1日起至12月31日止。</w:t>
      </w:r>
    </w:p>
    <w:p>
      <w:pPr>
        <w:numPr>
          <w:ilvl w:val="0"/>
          <w:numId w:val="1"/>
        </w:numPr>
        <w:ind w:left="480" w:leftChars="0" w:firstLine="0" w:firstLineChars="0"/>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总体情况</w:t>
      </w:r>
    </w:p>
    <w:p>
      <w:pPr>
        <w:numPr>
          <w:ilvl w:val="0"/>
          <w:numId w:val="0"/>
        </w:numPr>
        <w:ind w:left="0" w:leftChars="0" w:firstLine="480" w:firstLineChars="20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2023年，新碶街道认真贯彻落实《中华人民共和国政府信息公开条例》，紧紧围绕区委、区政府中心工作，严格落实政府信息公开的决策、执行、管理、服务、结果等各个环节工作，加强基层政务公开标准化规范化建设，规范公开程序、完善信息发布、强化内部审查、提升公开质量，确保政府信息公开工作有序开展。</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一）主动公开。全年我街道通过北仑区政府信息公开网上平台主动公开了重大民生信息、年度财政预决算、法规文件、人事任免、人大提案议案办理情况、公示公告通知、政务动态等各类政府信息357条；政务微信公开政府信息673条。</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二）依申请公开。根据申请人申请政府信息公开的实际问题和情况，以解决问题的具体举措实质性回应申请人，进一步规范依申请公开的受理、处理和答复等流程和关键环节的运行，确保依法依规及时作出答复。2023年，我街道收到政府信息依申请公开6件，其中自然人申请2件，法人或其他组织申请4件。全年答复政府信息公开申请6件，其中予以公开2件，不属于本机关负责公开2件，重复申请公开2件。因政府信息依申请公开引起的行政复议0件，行政诉讼0件，无被纠错和败诉件。</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三）政府信息管理。为更好地推进政务公开工作，进一步明确政务公开工作事项范围和工作标准，不断夯实政务公开工作基础，今年区府办组织各部门、街道编制修订了北仑区政务公开“一本帐”,结合本街道工作实际，对照</w:t>
      </w:r>
      <w:r>
        <w:rPr>
          <w:rFonts w:hint="default"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CN"/>
        </w:rPr>
        <w:t>一本帐</w:t>
      </w:r>
      <w:r>
        <w:rPr>
          <w:rFonts w:hint="default" w:ascii="微软雅黑" w:hAnsi="微软雅黑" w:eastAsia="微软雅黑" w:cs="微软雅黑"/>
          <w:sz w:val="24"/>
          <w:szCs w:val="24"/>
          <w:lang w:val="en-US" w:eastAsia="zh-CN"/>
        </w:rPr>
        <w:t>”</w:t>
      </w:r>
      <w:r>
        <w:rPr>
          <w:rFonts w:hint="eastAsia" w:ascii="微软雅黑" w:hAnsi="微软雅黑" w:eastAsia="微软雅黑" w:cs="微软雅黑"/>
          <w:sz w:val="24"/>
          <w:szCs w:val="24"/>
          <w:lang w:val="en-US" w:eastAsia="zh-CN"/>
        </w:rPr>
        <w:t>进行了认真梳理，发现问题积极反馈上级，为政务公开业务基础性工作做好指引。及时更新政府信息公开指南、机构概况、领导信息和内设机构等，补充完善信息发布的详细办公地址、作息时间、联系电话和传真等。日常工作中，根据区政务公开工作情况通报、第三方季度检测报告涉及到的问题及时纠正整改到位、责任落实到位，并做好记录杜绝类似问题发生。</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四）政府信息公开平台建设。为强化信息内容安全管理，我街道对政府信息公开平台、政务新媒体等开展了逐一排查，对信息发布内容进行梳理和自查，其中政府信息公开平台共排查363条，均未发现不规范、违规和涉敏信息。本年度街道下属单位新增了22个社区和14个行政村的政府信息公开查阅专区，为社会公众现场查询和免费获取政府信息提供高效的政府服务体验和查阅途径。</w:t>
      </w:r>
    </w:p>
    <w:p>
      <w:pPr>
        <w:numPr>
          <w:ilvl w:val="0"/>
          <w:numId w:val="2"/>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监督保障。强化日常监督，有序实施政府信息审查机制，组织成立政务信息公开舆情风险防范专班，严格按照“以公开为原则，不公开为例外”、“一事一审”、“三审三效”的原则，切实把好政治关、政策关、保密关，从源头管控好政府信息公开工作，杜绝未审未批、信息发布不当或随意公开信息等现象，坚决把该项工作落到实处。自觉接受社会群众的监督，在网站上公开监督电话，2023年通过“民生e点通“回应公众关注热点和重大舆情共465次。全年没有发生因政务公开工作被追究责任的情况。</w:t>
      </w:r>
    </w:p>
    <w:p>
      <w:pPr>
        <w:pStyle w:val="4"/>
        <w:keepNext w:val="0"/>
        <w:keepLines w:val="0"/>
        <w:widowControl/>
        <w:numPr>
          <w:ilvl w:val="0"/>
          <w:numId w:val="1"/>
        </w:numPr>
        <w:suppressLineNumbers w:val="0"/>
        <w:spacing w:before="0" w:beforeAutospacing="0" w:after="0" w:afterAutospacing="0" w:line="432" w:lineRule="auto"/>
        <w:ind w:left="480" w:leftChars="0" w:firstLine="0" w:firstLineChars="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主动公开政府信息情况</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color w:val="333333"/>
                <w:kern w:val="0"/>
                <w:sz w:val="20"/>
                <w:szCs w:val="20"/>
                <w:lang w:val="en-US" w:eastAsia="zh-CN" w:bidi="ar"/>
              </w:rPr>
              <w:t>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color w:val="333333"/>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Calibri" w:hAnsi="Calibri" w:eastAsia="宋体" w:cs="Calibri"/>
                <w:color w:val="333333"/>
                <w:kern w:val="2"/>
                <w:sz w:val="21"/>
                <w:szCs w:val="21"/>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1170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lang w:val="en-US"/>
              </w:rP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pStyle w:val="4"/>
        <w:keepNext w:val="0"/>
        <w:keepLines w:val="0"/>
        <w:widowControl/>
        <w:suppressLineNumbers w:val="0"/>
        <w:spacing w:before="0" w:beforeAutospacing="0" w:after="0" w:afterAutospacing="0" w:line="432" w:lineRule="auto"/>
        <w:ind w:left="0" w:firstLine="420"/>
        <w:jc w:val="both"/>
        <w:rPr>
          <w:rFonts w:hint="eastAsia" w:ascii="微软雅黑" w:hAnsi="微软雅黑" w:eastAsia="微软雅黑" w:cs="微软雅黑"/>
          <w:b/>
          <w:bCs w:val="0"/>
        </w:rPr>
      </w:pPr>
      <w:r>
        <w:rPr>
          <w:rFonts w:hint="eastAsia" w:ascii="微软雅黑" w:hAnsi="微软雅黑" w:eastAsia="微软雅黑" w:cs="微软雅黑"/>
          <w:b/>
          <w:bCs w:val="0"/>
          <w:color w:val="333333"/>
          <w:sz w:val="24"/>
          <w:szCs w:val="24"/>
        </w:rPr>
        <w:t>三、</w:t>
      </w:r>
      <w:r>
        <w:rPr>
          <w:rFonts w:hint="eastAsia" w:ascii="微软雅黑" w:hAnsi="微软雅黑" w:eastAsia="微软雅黑" w:cs="微软雅黑"/>
          <w:b/>
          <w:bCs w:val="0"/>
          <w:kern w:val="2"/>
          <w:sz w:val="24"/>
          <w:szCs w:val="24"/>
          <w:lang w:val="en-US" w:eastAsia="zh-CN" w:bidi="ar-SA"/>
        </w:rPr>
        <w:t>收到和处理政府信息公开申请情况</w:t>
      </w:r>
    </w:p>
    <w:tbl>
      <w:tblPr>
        <w:tblStyle w:val="5"/>
        <w:tblW w:w="880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2</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4</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2</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default" w:ascii="Calibri" w:hAnsi="Calibri" w:eastAsia="宋体" w:cs="Calibri"/>
                <w:color w:val="333333"/>
                <w:kern w:val="0"/>
                <w:sz w:val="20"/>
                <w:szCs w:val="20"/>
                <w:lang w:val="en-US" w:eastAsia="zh-CN" w:bidi="ar"/>
              </w:rPr>
              <w:t> </w:t>
            </w: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2</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2</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2</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 xml:space="preserve"> 2</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 xml:space="preserve"> 0</w:t>
            </w:r>
            <w:r>
              <w:rPr>
                <w:rFonts w:hint="default" w:ascii="Calibri" w:hAnsi="Calibri" w:eastAsia="宋体" w:cs="Calibri"/>
                <w:color w:val="333333"/>
                <w:kern w:val="0"/>
                <w:sz w:val="20"/>
                <w:szCs w:val="20"/>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（七）总计</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2</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4</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default" w:asciiTheme="minorHAnsi" w:hAnsiTheme="minorHAnsi" w:eastAsiaTheme="minorEastAsia" w:cstheme="minorBidi"/>
                <w:kern w:val="2"/>
                <w:sz w:val="21"/>
                <w:szCs w:val="24"/>
                <w:lang w:val="en-US" w:eastAsia="zh-CN" w:bidi="ar-SA"/>
              </w:rPr>
            </w:pPr>
            <w:r>
              <w:rPr>
                <w:rFonts w:hint="eastAsia" w:cstheme="minorBidi"/>
                <w:kern w:val="2"/>
                <w:sz w:val="21"/>
                <w:szCs w:val="24"/>
                <w:lang w:val="en-US" w:eastAsia="zh-CN" w:bidi="ar-SA"/>
              </w:rPr>
              <w:t>6</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四、结转下年度继续办理</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r>
              <w:rPr>
                <w:rFonts w:hint="default" w:ascii="Calibri" w:hAnsi="Calibri" w:eastAsia="宋体" w:cs="Calibri"/>
                <w:color w:val="333333"/>
                <w:kern w:val="0"/>
                <w:sz w:val="20"/>
                <w:szCs w:val="20"/>
                <w:lang w:val="en-US" w:eastAsia="zh-CN" w:bidi="ar"/>
              </w:rPr>
              <w:t> </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leftChars="0" w:right="0" w:rightChars="0"/>
              <w:jc w:val="center"/>
              <w:textAlignment w:val="auto"/>
              <w:rPr>
                <w:rFonts w:hint="eastAsia" w:asciiTheme="minorHAnsi" w:hAnsiTheme="minorHAnsi" w:eastAsiaTheme="minorEastAsia" w:cstheme="minorBidi"/>
                <w:kern w:val="2"/>
                <w:sz w:val="21"/>
                <w:szCs w:val="24"/>
                <w:lang w:val="en-US" w:eastAsia="zh-CN" w:bidi="ar-SA"/>
              </w:rPr>
            </w:pPr>
            <w:r>
              <w:rPr>
                <w:rFonts w:hint="eastAsia" w:ascii="Calibri" w:hAnsi="Calibri" w:eastAsia="宋体" w:cs="Calibri"/>
                <w:color w:val="333333"/>
                <w:kern w:val="0"/>
                <w:sz w:val="20"/>
                <w:szCs w:val="20"/>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32" w:lineRule="auto"/>
        <w:ind w:left="0" w:right="0"/>
        <w:jc w:val="center"/>
        <w:rPr>
          <w:rFonts w:hint="eastAsia" w:ascii="宋体" w:hAnsi="宋体" w:eastAsia="宋体" w:cs="宋体"/>
          <w:color w:val="333333"/>
          <w:sz w:val="24"/>
          <w:szCs w:val="24"/>
        </w:rPr>
      </w:pPr>
    </w:p>
    <w:p>
      <w:pPr>
        <w:pStyle w:val="4"/>
        <w:keepNext w:val="0"/>
        <w:keepLines w:val="0"/>
        <w:widowControl/>
        <w:suppressLineNumbers w:val="0"/>
        <w:spacing w:before="0" w:beforeAutospacing="0" w:after="0" w:afterAutospacing="0" w:line="432" w:lineRule="auto"/>
        <w:ind w:left="0" w:firstLine="42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四、政府信息公开行政复议、行政诉讼情况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default"/>
                <w:lang w:val="en-US"/>
              </w:rP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黑体" w:hAnsi="宋体" w:eastAsia="黑体" w:cs="黑体"/>
                <w:color w:val="333333"/>
                <w:kern w:val="2"/>
                <w:sz w:val="20"/>
                <w:szCs w:val="20"/>
                <w:lang w:val="en-US" w:eastAsia="zh-CN" w:bidi="ar"/>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numPr>
          <w:ilvl w:val="0"/>
          <w:numId w:val="0"/>
        </w:numPr>
        <w:ind w:left="480" w:leftChars="0"/>
        <w:rPr>
          <w:rFonts w:hint="eastAsia" w:ascii="微软雅黑" w:hAnsi="微软雅黑" w:eastAsia="微软雅黑" w:cs="微软雅黑"/>
          <w:b/>
          <w:bCs/>
          <w:sz w:val="24"/>
          <w:szCs w:val="24"/>
          <w:lang w:val="en-US" w:eastAsia="zh-CN"/>
        </w:rPr>
      </w:pPr>
      <w:r>
        <w:rPr>
          <w:rFonts w:hint="eastAsia" w:ascii="微软雅黑" w:hAnsi="微软雅黑" w:eastAsia="微软雅黑" w:cs="微软雅黑"/>
          <w:b/>
          <w:bCs/>
          <w:sz w:val="24"/>
          <w:szCs w:val="24"/>
          <w:lang w:val="en-US" w:eastAsia="zh-CN"/>
        </w:rPr>
        <w:t>五、存在的主要问题及改进情况</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2023年，我街道政府信息公开工作虽然取得了一定成效，但工作中仍然存在一些问题和不足。一方面是信息公开内容创新性和多样性还不够，部分信息发布不及时、公开不全面。另一方面是政府信息公开的宣传力度不够，政民互动有待加强。</w:t>
      </w:r>
    </w:p>
    <w:p>
      <w:pPr>
        <w:numPr>
          <w:ilvl w:val="0"/>
          <w:numId w:val="0"/>
        </w:numPr>
        <w:ind w:left="0" w:leftChars="0" w:firstLine="420" w:firstLineChars="175"/>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下阶段，我们将积极采取改进措施，有针对性地从以下几方面予以改进：一是从思想上认识深化，切实增强信息公开的责任感和使命感。二是着力提升政府信息公开的行动力，积极回应人民群众的信息需求，针对公众关注的民生信息、医疗卫生、重点领域信息等切实做到“应公开、尽公开”，提高公众对政府工作的知晓度和参与度，吸收借鉴兄弟单位好的经验和做法，探索政府信息公开的新思路、新途径、新方法，进一步提升政务信息公开工作质效。</w:t>
      </w:r>
    </w:p>
    <w:p>
      <w:pPr>
        <w:pStyle w:val="4"/>
        <w:keepNext w:val="0"/>
        <w:keepLines w:val="0"/>
        <w:widowControl/>
        <w:numPr>
          <w:ilvl w:val="0"/>
          <w:numId w:val="3"/>
        </w:numPr>
        <w:suppressLineNumbers w:val="0"/>
        <w:spacing w:before="0" w:beforeAutospacing="0" w:after="0" w:afterAutospacing="0" w:line="432" w:lineRule="auto"/>
        <w:ind w:left="0" w:firstLine="420"/>
        <w:jc w:val="both"/>
        <w:rPr>
          <w:rFonts w:hint="eastAsia" w:ascii="微软雅黑" w:hAnsi="微软雅黑" w:eastAsia="微软雅黑" w:cs="微软雅黑"/>
          <w:b/>
          <w:bCs/>
          <w:kern w:val="2"/>
          <w:sz w:val="24"/>
          <w:szCs w:val="24"/>
          <w:lang w:val="en-US" w:eastAsia="zh-CN" w:bidi="ar-SA"/>
        </w:rPr>
      </w:pPr>
      <w:r>
        <w:rPr>
          <w:rFonts w:hint="eastAsia" w:ascii="微软雅黑" w:hAnsi="微软雅黑" w:eastAsia="微软雅黑" w:cs="微软雅黑"/>
          <w:b/>
          <w:bCs/>
          <w:kern w:val="2"/>
          <w:sz w:val="24"/>
          <w:szCs w:val="24"/>
          <w:lang w:val="en-US" w:eastAsia="zh-CN" w:bidi="ar-SA"/>
        </w:rPr>
        <w:t>其他需要报告的事项</w:t>
      </w:r>
    </w:p>
    <w:p>
      <w:pPr>
        <w:pStyle w:val="4"/>
        <w:keepNext w:val="0"/>
        <w:keepLines w:val="0"/>
        <w:widowControl/>
        <w:suppressLineNumbers w:val="0"/>
        <w:spacing w:before="0" w:beforeAutospacing="0" w:after="0" w:afterAutospacing="0" w:line="432" w:lineRule="auto"/>
        <w:ind w:left="0" w:firstLine="420"/>
        <w:jc w:val="left"/>
        <w:rPr>
          <w:rFonts w:hint="eastAsia" w:ascii="微软雅黑" w:hAnsi="微软雅黑" w:eastAsia="微软雅黑" w:cs="微软雅黑"/>
          <w:kern w:val="2"/>
          <w:sz w:val="24"/>
          <w:szCs w:val="24"/>
          <w:lang w:val="en-US" w:eastAsia="zh-CN" w:bidi="ar-SA"/>
        </w:rPr>
      </w:pPr>
      <w:r>
        <w:rPr>
          <w:rFonts w:hint="eastAsia" w:ascii="微软雅黑" w:hAnsi="微软雅黑" w:eastAsia="微软雅黑" w:cs="微软雅黑"/>
          <w:kern w:val="2"/>
          <w:sz w:val="24"/>
          <w:szCs w:val="24"/>
          <w:lang w:val="en-US" w:eastAsia="zh-CN" w:bidi="ar-SA"/>
        </w:rPr>
        <w:t>根据国务院办公厅印发的《政府信息公开信息处理费管理办法》和浙江省政府办公厅、宁波市政府办公厅关于政府信息公开信息处理费收取工作的有关规定，我街道2023年没有收到超出一定数量或者频次范围的政府信息公开申请，也未对申请人收取信息处理费。</w:t>
      </w:r>
    </w:p>
    <w:p>
      <w:pPr>
        <w:pStyle w:val="4"/>
        <w:keepNext w:val="0"/>
        <w:keepLines w:val="0"/>
        <w:widowControl/>
        <w:suppressLineNumbers w:val="0"/>
        <w:spacing w:before="0" w:beforeAutospacing="0" w:after="0" w:afterAutospacing="0" w:line="432" w:lineRule="auto"/>
        <w:ind w:left="0" w:firstLine="420"/>
        <w:jc w:val="left"/>
        <w:rPr>
          <w:rFonts w:hint="eastAsia"/>
          <w:lang w:eastAsia="zh-CN"/>
        </w:rPr>
      </w:pPr>
      <w:r>
        <w:rPr>
          <w:rFonts w:hint="eastAsia" w:ascii="微软雅黑" w:hAnsi="微软雅黑" w:eastAsia="微软雅黑" w:cs="微软雅黑"/>
          <w:kern w:val="2"/>
          <w:sz w:val="24"/>
          <w:szCs w:val="24"/>
          <w:lang w:val="en-US" w:eastAsia="zh-CN" w:bidi="ar-SA"/>
        </w:rPr>
        <w:t>特此说明。</w:t>
      </w:r>
      <w:r>
        <w:rPr>
          <w:rFonts w:hint="eastAsia" w:ascii="微软雅黑" w:hAnsi="微软雅黑" w:eastAsia="微软雅黑" w:cs="微软雅黑"/>
          <w:sz w:val="24"/>
          <w:szCs w:val="24"/>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2EE1AB"/>
    <w:multiLevelType w:val="singleLevel"/>
    <w:tmpl w:val="0F2EE1AB"/>
    <w:lvl w:ilvl="0" w:tentative="0">
      <w:start w:val="6"/>
      <w:numFmt w:val="chineseCounting"/>
      <w:suff w:val="nothing"/>
      <w:lvlText w:val="%1、"/>
      <w:lvlJc w:val="left"/>
      <w:rPr>
        <w:rFonts w:hint="eastAsia"/>
      </w:rPr>
    </w:lvl>
  </w:abstractNum>
  <w:abstractNum w:abstractNumId="1">
    <w:nsid w:val="11CCC9AA"/>
    <w:multiLevelType w:val="singleLevel"/>
    <w:tmpl w:val="11CCC9AA"/>
    <w:lvl w:ilvl="0" w:tentative="0">
      <w:start w:val="1"/>
      <w:numFmt w:val="chineseCounting"/>
      <w:suff w:val="nothing"/>
      <w:lvlText w:val="%1、"/>
      <w:lvlJc w:val="left"/>
      <w:pPr>
        <w:ind w:left="480" w:leftChars="0" w:firstLine="0" w:firstLineChars="0"/>
      </w:pPr>
      <w:rPr>
        <w:rFonts w:hint="eastAsia"/>
      </w:rPr>
    </w:lvl>
  </w:abstractNum>
  <w:abstractNum w:abstractNumId="2">
    <w:nsid w:val="5295893B"/>
    <w:multiLevelType w:val="singleLevel"/>
    <w:tmpl w:val="5295893B"/>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C03F0E"/>
    <w:rsid w:val="02281A4B"/>
    <w:rsid w:val="02517F24"/>
    <w:rsid w:val="030C5A8C"/>
    <w:rsid w:val="03CB1B90"/>
    <w:rsid w:val="03DB1089"/>
    <w:rsid w:val="03E93CC5"/>
    <w:rsid w:val="04DD38EA"/>
    <w:rsid w:val="06856F29"/>
    <w:rsid w:val="06B15580"/>
    <w:rsid w:val="06DF12BD"/>
    <w:rsid w:val="0737681E"/>
    <w:rsid w:val="074027EC"/>
    <w:rsid w:val="07532688"/>
    <w:rsid w:val="08C2489F"/>
    <w:rsid w:val="09577147"/>
    <w:rsid w:val="0A5236A0"/>
    <w:rsid w:val="0B6838B1"/>
    <w:rsid w:val="0BC30111"/>
    <w:rsid w:val="0F8B7700"/>
    <w:rsid w:val="0FDD72EE"/>
    <w:rsid w:val="10D155FB"/>
    <w:rsid w:val="10F126B9"/>
    <w:rsid w:val="13001518"/>
    <w:rsid w:val="13B930C9"/>
    <w:rsid w:val="161734AC"/>
    <w:rsid w:val="169E2565"/>
    <w:rsid w:val="18A74D43"/>
    <w:rsid w:val="197258DC"/>
    <w:rsid w:val="1AF85A4B"/>
    <w:rsid w:val="1BC25F36"/>
    <w:rsid w:val="1E086BE0"/>
    <w:rsid w:val="1E197F87"/>
    <w:rsid w:val="1EC02136"/>
    <w:rsid w:val="1F9A320D"/>
    <w:rsid w:val="20495DA5"/>
    <w:rsid w:val="21FA555F"/>
    <w:rsid w:val="222C434F"/>
    <w:rsid w:val="22EE236C"/>
    <w:rsid w:val="23B65454"/>
    <w:rsid w:val="250810CE"/>
    <w:rsid w:val="276B6D75"/>
    <w:rsid w:val="279222E9"/>
    <w:rsid w:val="2A577C25"/>
    <w:rsid w:val="2C586E00"/>
    <w:rsid w:val="2C6552F3"/>
    <w:rsid w:val="2CA83D55"/>
    <w:rsid w:val="2D036460"/>
    <w:rsid w:val="2D2543E1"/>
    <w:rsid w:val="2F7C5FA4"/>
    <w:rsid w:val="30033322"/>
    <w:rsid w:val="305C6809"/>
    <w:rsid w:val="30736266"/>
    <w:rsid w:val="34A8699C"/>
    <w:rsid w:val="35FB767D"/>
    <w:rsid w:val="3741695C"/>
    <w:rsid w:val="37764687"/>
    <w:rsid w:val="37AD7648"/>
    <w:rsid w:val="39FF7385"/>
    <w:rsid w:val="3A2F6D7D"/>
    <w:rsid w:val="3A323D7F"/>
    <w:rsid w:val="3B775B9F"/>
    <w:rsid w:val="3BBB7EF1"/>
    <w:rsid w:val="3D552E42"/>
    <w:rsid w:val="3DC115C9"/>
    <w:rsid w:val="3EAF34E3"/>
    <w:rsid w:val="3F4F2F3B"/>
    <w:rsid w:val="40BC70F1"/>
    <w:rsid w:val="41F04753"/>
    <w:rsid w:val="433353EF"/>
    <w:rsid w:val="43546D53"/>
    <w:rsid w:val="4397623D"/>
    <w:rsid w:val="44C03F0E"/>
    <w:rsid w:val="468A2D7C"/>
    <w:rsid w:val="471A4513"/>
    <w:rsid w:val="47640D88"/>
    <w:rsid w:val="47A94A8D"/>
    <w:rsid w:val="485339D6"/>
    <w:rsid w:val="49503C7B"/>
    <w:rsid w:val="49CA5E32"/>
    <w:rsid w:val="4C6420E9"/>
    <w:rsid w:val="4D0619FF"/>
    <w:rsid w:val="4D9E4117"/>
    <w:rsid w:val="50312F6A"/>
    <w:rsid w:val="509A5341"/>
    <w:rsid w:val="50D4180D"/>
    <w:rsid w:val="5169696D"/>
    <w:rsid w:val="51DB2CDD"/>
    <w:rsid w:val="53003D44"/>
    <w:rsid w:val="542A454D"/>
    <w:rsid w:val="54AC0F1E"/>
    <w:rsid w:val="553E6649"/>
    <w:rsid w:val="554C11A0"/>
    <w:rsid w:val="556671EC"/>
    <w:rsid w:val="570361F8"/>
    <w:rsid w:val="57985F87"/>
    <w:rsid w:val="59550CBB"/>
    <w:rsid w:val="59CD5E6F"/>
    <w:rsid w:val="59FD164B"/>
    <w:rsid w:val="5A641A31"/>
    <w:rsid w:val="5A9C608A"/>
    <w:rsid w:val="5D9600C9"/>
    <w:rsid w:val="5E475879"/>
    <w:rsid w:val="5ED16751"/>
    <w:rsid w:val="5F4471E7"/>
    <w:rsid w:val="5FD615C2"/>
    <w:rsid w:val="5FED248D"/>
    <w:rsid w:val="607D5688"/>
    <w:rsid w:val="60B13FF4"/>
    <w:rsid w:val="60D847A8"/>
    <w:rsid w:val="61526F33"/>
    <w:rsid w:val="61C2252A"/>
    <w:rsid w:val="628320DB"/>
    <w:rsid w:val="6348157D"/>
    <w:rsid w:val="63D65A3B"/>
    <w:rsid w:val="649D360A"/>
    <w:rsid w:val="66F27348"/>
    <w:rsid w:val="671343AC"/>
    <w:rsid w:val="679752AE"/>
    <w:rsid w:val="68640A38"/>
    <w:rsid w:val="68B0518A"/>
    <w:rsid w:val="698E5CA6"/>
    <w:rsid w:val="6B0C67C5"/>
    <w:rsid w:val="6B281BA7"/>
    <w:rsid w:val="6D1A30A0"/>
    <w:rsid w:val="6D6D3796"/>
    <w:rsid w:val="70C307F4"/>
    <w:rsid w:val="71863563"/>
    <w:rsid w:val="71E02569"/>
    <w:rsid w:val="725B75E6"/>
    <w:rsid w:val="72A22A1E"/>
    <w:rsid w:val="735A79CF"/>
    <w:rsid w:val="73D86B81"/>
    <w:rsid w:val="742B3D29"/>
    <w:rsid w:val="744C1F90"/>
    <w:rsid w:val="782557C0"/>
    <w:rsid w:val="790265C4"/>
    <w:rsid w:val="796E7ECC"/>
    <w:rsid w:val="79D54246"/>
    <w:rsid w:val="79F74547"/>
    <w:rsid w:val="7A61471E"/>
    <w:rsid w:val="7B0964C8"/>
    <w:rsid w:val="7B863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unhideWhenUsed/>
    <w:qFormat/>
    <w:uiPriority w:val="99"/>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133</TotalTime>
  <ScaleCrop>false</ScaleCrop>
  <LinksUpToDate>false</LinksUpToDate>
  <CharactersWithSpaces>0</CharactersWithSpaces>
  <Application>WPS Office_11.8.2.11542_F1E327BC-269C-435d-A152-05C5408002CA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2023-12-08T06:12:00Z</dcterms:created>
  <dc:creator>Lirio</dc:creator>
  <cp:lastModifiedBy>Lirio</cp:lastModifiedBy>
  <cp:lastPrinted>2024-01-11T02:17:00Z</cp:lastPrinted>
  <dcterms:modified xsi:type="dcterms:W3CDTF">2024-02-26T00:17:22Z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86BFAB31C9A74921BE17C6F2EA1A5091</vt:lpwstr>
  </property>
</Properties>
</file>