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宁波市北仑区卫生健康局</w:t>
      </w:r>
    </w:p>
    <w:p>
      <w:pPr>
        <w:spacing w:line="6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202</w:t>
      </w:r>
      <w:r>
        <w:rPr>
          <w:rFonts w:hint="eastAsia" w:ascii="方正小标宋简体" w:eastAsia="方正小标宋简体"/>
          <w:color w:val="000000"/>
          <w:sz w:val="44"/>
          <w:szCs w:val="44"/>
          <w:lang w:val="en-US" w:eastAsia="zh-CN"/>
        </w:rPr>
        <w:t>2</w:t>
      </w:r>
      <w:r>
        <w:rPr>
          <w:rFonts w:hint="eastAsia" w:ascii="方正小标宋简体" w:eastAsia="方正小标宋简体"/>
          <w:color w:val="000000"/>
          <w:sz w:val="44"/>
          <w:szCs w:val="44"/>
        </w:rPr>
        <w:t>年政府信息公开工作年度报告</w:t>
      </w:r>
    </w:p>
    <w:p>
      <w:pPr>
        <w:spacing w:line="620" w:lineRule="exact"/>
        <w:rPr>
          <w:rFonts w:hint="eastAsia" w:ascii="仿宋_GB2312" w:hAnsi="仿宋_GB2312" w:eastAsia="仿宋_GB2312"/>
          <w:color w:val="000000"/>
          <w:sz w:val="32"/>
        </w:rPr>
      </w:pPr>
    </w:p>
    <w:p>
      <w:pPr>
        <w:spacing w:line="580" w:lineRule="exact"/>
        <w:ind w:firstLine="640" w:firstLineChars="200"/>
        <w:rPr>
          <w:rFonts w:hint="eastAsia" w:ascii="仿宋" w:hAnsi="仿宋" w:eastAsia="仿宋"/>
          <w:color w:val="000000"/>
          <w:sz w:val="32"/>
          <w:szCs w:val="32"/>
          <w:shd w:val="clear" w:color="auto" w:fill="FFFFFF"/>
        </w:rPr>
      </w:pPr>
      <w:r>
        <w:rPr>
          <w:rFonts w:hint="eastAsia" w:eastAsia="仿宋"/>
          <w:color w:val="000000"/>
          <w:sz w:val="32"/>
          <w:szCs w:val="32"/>
          <w:shd w:val="clear" w:color="auto" w:fill="FFFFFF"/>
        </w:rPr>
        <w:t> </w:t>
      </w:r>
      <w:r>
        <w:rPr>
          <w:rFonts w:hint="eastAsia" w:ascii="仿宋" w:hAnsi="仿宋" w:eastAsia="仿宋"/>
          <w:color w:val="000000"/>
          <w:sz w:val="32"/>
          <w:szCs w:val="32"/>
          <w:shd w:val="clear" w:color="auto" w:fill="FFFFFF"/>
        </w:rPr>
        <w:t>编制说明：本报告是根据《中华人民共和国政府信息公开条例》（国务院令第711号）和《国务院办公厅政府信息与政务公开办公室关于政府信息公开工作年度报告有关事项的通知》（国办公开办函〔2021〕30号）文件要求编制。全文包含总体情况、主动公开政府信息情况、收到和处理政府信息公开申请情况、政府信息公开行政复议、行政诉讼情况、存在的主要问题及改进情况、其他需要报告的事项六个方面。</w:t>
      </w:r>
    </w:p>
    <w:p>
      <w:pPr>
        <w:spacing w:line="580" w:lineRule="exact"/>
        <w:ind w:firstLine="640" w:firstLineChars="200"/>
        <w:rPr>
          <w:rFonts w:hint="eastAsia" w:ascii="黑体" w:hAnsi="黑体" w:eastAsia="黑体" w:cs="黑体"/>
          <w:color w:val="000000"/>
          <w:sz w:val="32"/>
        </w:rPr>
      </w:pPr>
      <w:r>
        <w:rPr>
          <w:rFonts w:hint="eastAsia" w:ascii="黑体" w:hAnsi="黑体" w:eastAsia="黑体" w:cs="黑体"/>
          <w:color w:val="000000"/>
          <w:sz w:val="32"/>
        </w:rPr>
        <w:t>一、总体情况</w:t>
      </w:r>
    </w:p>
    <w:p>
      <w:pPr>
        <w:spacing w:line="580" w:lineRule="exact"/>
        <w:ind w:firstLine="640" w:firstLineChars="200"/>
        <w:rPr>
          <w:rFonts w:hint="eastAsia" w:ascii="仿宋_GB2312" w:hAnsi="仿宋_GB2312" w:eastAsia="仿宋_GB2312"/>
          <w:color w:val="000000"/>
          <w:sz w:val="32"/>
        </w:rPr>
      </w:pPr>
      <w:r>
        <w:rPr>
          <w:rFonts w:hint="eastAsia" w:ascii="仿宋_GB2312" w:hAnsi="仿宋_GB2312" w:eastAsia="仿宋_GB2312"/>
          <w:color w:val="000000"/>
          <w:sz w:val="32"/>
        </w:rPr>
        <w:t>202</w:t>
      </w:r>
      <w:r>
        <w:rPr>
          <w:rFonts w:hint="eastAsia" w:ascii="仿宋_GB2312" w:hAnsi="仿宋_GB2312" w:eastAsia="仿宋_GB2312"/>
          <w:color w:val="000000"/>
          <w:sz w:val="32"/>
          <w:lang w:val="en-US" w:eastAsia="zh-CN"/>
        </w:rPr>
        <w:t>2</w:t>
      </w:r>
      <w:r>
        <w:rPr>
          <w:rFonts w:hint="eastAsia" w:ascii="仿宋_GB2312" w:hAnsi="仿宋_GB2312" w:eastAsia="仿宋_GB2312"/>
          <w:color w:val="000000"/>
          <w:sz w:val="32"/>
        </w:rPr>
        <w:t>年，北仑区卫健局政务公开工作</w:t>
      </w:r>
      <w:r>
        <w:rPr>
          <w:rFonts w:hint="eastAsia" w:ascii="仿宋_GB2312" w:hAnsi="仿宋_GB2312" w:eastAsia="仿宋_GB2312" w:cs="仿宋_GB2312"/>
          <w:color w:val="000000"/>
          <w:sz w:val="32"/>
          <w:szCs w:val="32"/>
          <w:shd w:val="clear" w:color="auto" w:fill="FFFFFF"/>
        </w:rPr>
        <w:t>坚持以习近平新时代中国特色社会主义思想为指导，以全面贯彻《中华人民共和国政府信息公开条例》为主线，认真落实</w:t>
      </w:r>
      <w:r>
        <w:rPr>
          <w:rFonts w:hint="eastAsia" w:ascii="仿宋_GB2312" w:hAnsi="仿宋_GB2312" w:eastAsia="仿宋_GB2312" w:cs="仿宋_GB2312"/>
          <w:color w:val="000000"/>
          <w:sz w:val="32"/>
          <w:szCs w:val="32"/>
          <w:shd w:val="clear" w:color="auto" w:fill="FFFFFF"/>
          <w:lang w:eastAsia="zh-CN"/>
        </w:rPr>
        <w:t>国家、省、市</w:t>
      </w:r>
      <w:r>
        <w:rPr>
          <w:rFonts w:hint="eastAsia" w:ascii="仿宋_GB2312" w:hAnsi="仿宋_GB2312" w:eastAsia="仿宋_GB2312" w:cs="仿宋_GB2312"/>
          <w:color w:val="000000"/>
          <w:sz w:val="32"/>
          <w:szCs w:val="32"/>
          <w:shd w:val="clear" w:color="auto" w:fill="FFFFFF"/>
        </w:rPr>
        <w:t>文件要求，</w:t>
      </w:r>
      <w:r>
        <w:rPr>
          <w:rFonts w:hint="eastAsia" w:ascii="仿宋_GB2312" w:hAnsi="仿宋_GB2312" w:eastAsia="仿宋_GB2312" w:cs="仿宋_GB2312"/>
          <w:color w:val="000000"/>
          <w:sz w:val="32"/>
          <w:szCs w:val="32"/>
        </w:rPr>
        <w:t>以夯实政务公开基础为抓手，以公开促落实、促规范、促服务为目标，努力提升卫健工作透明度和政府公信力。</w:t>
      </w:r>
      <w:r>
        <w:rPr>
          <w:rFonts w:hint="eastAsia" w:ascii="仿宋_GB2312" w:hAnsi="仿宋_GB2312" w:eastAsia="仿宋_GB2312" w:cs="仿宋_GB2312"/>
          <w:color w:val="000000"/>
          <w:sz w:val="32"/>
          <w:szCs w:val="32"/>
          <w:highlight w:val="none"/>
        </w:rPr>
        <w:t>全年通过各种渠道公开政府信息</w:t>
      </w:r>
      <w:r>
        <w:rPr>
          <w:rFonts w:hint="eastAsia" w:ascii="仿宋_GB2312" w:hAnsi="仿宋_GB2312" w:eastAsia="仿宋_GB2312" w:cs="仿宋_GB2312"/>
          <w:color w:val="000000"/>
          <w:sz w:val="32"/>
          <w:szCs w:val="32"/>
          <w:highlight w:val="none"/>
          <w:lang w:val="en-US" w:eastAsia="zh"/>
        </w:rPr>
        <w:t>1225</w:t>
      </w:r>
      <w:r>
        <w:rPr>
          <w:rFonts w:hint="eastAsia" w:ascii="仿宋_GB2312" w:hAnsi="仿宋_GB2312" w:eastAsia="仿宋_GB2312" w:cs="仿宋_GB2312"/>
          <w:color w:val="000000"/>
          <w:sz w:val="32"/>
          <w:szCs w:val="32"/>
          <w:highlight w:val="none"/>
        </w:rPr>
        <w:t>条，政务新媒体公开信息</w:t>
      </w:r>
      <w:r>
        <w:rPr>
          <w:rFonts w:hint="eastAsia" w:ascii="仿宋_GB2312" w:hAnsi="仿宋_GB2312" w:eastAsia="仿宋_GB2312" w:cs="仿宋_GB2312"/>
          <w:color w:val="000000"/>
          <w:sz w:val="32"/>
          <w:szCs w:val="32"/>
          <w:highlight w:val="none"/>
          <w:lang w:val="en-US" w:eastAsia="zh"/>
        </w:rPr>
        <w:t>603</w:t>
      </w:r>
      <w:r>
        <w:rPr>
          <w:rFonts w:hint="eastAsia" w:ascii="仿宋_GB2312" w:hAnsi="仿宋_GB2312" w:eastAsia="仿宋_GB2312" w:cs="仿宋_GB2312"/>
          <w:color w:val="000000"/>
          <w:sz w:val="32"/>
          <w:szCs w:val="32"/>
          <w:highlight w:val="none"/>
        </w:rPr>
        <w:t>条</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rPr>
        <w:t>具体情况汇报如下：</w:t>
      </w:r>
    </w:p>
    <w:p>
      <w:pPr>
        <w:spacing w:line="580" w:lineRule="exact"/>
        <w:ind w:firstLine="640" w:firstLineChars="200"/>
        <w:rPr>
          <w:rFonts w:hint="eastAsia" w:ascii="仿宋_GB2312" w:hAnsi="仿宋_GB2312" w:eastAsia="仿宋_GB2312" w:cs="Times New Roman"/>
          <w:color w:val="000000"/>
          <w:sz w:val="32"/>
          <w:szCs w:val="22"/>
          <w:lang w:val="en-US" w:eastAsia="zh-CN"/>
        </w:rPr>
      </w:pPr>
      <w:r>
        <w:rPr>
          <w:rFonts w:hint="eastAsia" w:ascii="楷体" w:hAnsi="楷体" w:eastAsia="楷体" w:cs="楷体"/>
          <w:color w:val="000000"/>
          <w:sz w:val="32"/>
          <w:lang w:val="en-US" w:eastAsia="zh-CN"/>
        </w:rPr>
        <w:t>（一）加强组织领导。</w:t>
      </w:r>
      <w:r>
        <w:rPr>
          <w:rFonts w:hint="eastAsia" w:ascii="仿宋_GB2312" w:hAnsi="仿宋_GB2312" w:eastAsia="仿宋_GB2312" w:cs="Times New Roman"/>
          <w:color w:val="000000"/>
          <w:sz w:val="32"/>
          <w:lang w:val="en-US" w:eastAsia="zh-CN"/>
        </w:rPr>
        <w:t>为确保政府信息公开工作的有序开展，本机关成立了局主要负责人为组长，分管局领导为副组长，各单位、各科室主要负责人为成员的领导小组，负责对全局政府信息公开的总体审查、指导、监督和管理工作。领导小组下设办公室，由局综合科牵头实施，负责政府信息公开（包括政务公开）的综合管理及日常维护。年初制定年度计划，明确工作重点任务，扎实做好政府信息公开工作。</w:t>
      </w:r>
      <w:r>
        <w:rPr>
          <w:rFonts w:hint="eastAsia" w:ascii="仿宋_GB2312" w:hAnsi="仿宋_GB2312" w:eastAsia="仿宋_GB2312" w:cs="Times New Roman"/>
          <w:color w:val="000000"/>
          <w:sz w:val="32"/>
          <w:lang w:val="en-US" w:eastAsia="zh-CN"/>
        </w:rPr>
        <w:br w:type="textWrapping"/>
      </w:r>
      <w:r>
        <w:rPr>
          <w:rFonts w:hint="eastAsia" w:ascii="仿宋_GB2312" w:hAnsi="仿宋_GB2312" w:eastAsia="仿宋_GB2312" w:cs="Times New Roman"/>
          <w:color w:val="000000"/>
          <w:sz w:val="32"/>
          <w:lang w:val="en-US" w:eastAsia="zh-CN"/>
        </w:rPr>
        <w:t xml:space="preserve">   </w:t>
      </w:r>
      <w:r>
        <w:rPr>
          <w:rFonts w:hint="eastAsia" w:ascii="楷体" w:hAnsi="楷体" w:eastAsia="楷体" w:cs="楷体"/>
          <w:color w:val="000000"/>
          <w:sz w:val="32"/>
          <w:lang w:val="en-US" w:eastAsia="zh-CN"/>
        </w:rPr>
        <w:t>（二）主动做好政务公开工作。</w:t>
      </w:r>
      <w:r>
        <w:rPr>
          <w:rFonts w:hint="eastAsia" w:ascii="仿宋_GB2312" w:hAnsi="仿宋_GB2312" w:eastAsia="仿宋_GB2312" w:cs="Times New Roman"/>
          <w:color w:val="000000"/>
          <w:sz w:val="32"/>
          <w:lang w:val="en-US" w:eastAsia="zh-CN"/>
        </w:rPr>
        <w:t>按照《条例》明确的公开重点，全面主动公开本级文件、法律法规、年度财务预决算、人事任免、编制招聘、系统重大工作事件、工作进展、发展规划等内容。及时发布群众关切的新冠疫情防控相关政策文件。严格根据公开项目的不同情况和不同要求，确定公开时间。做到常规性工作定期公开，临时性工作随时公开，固定性工作长期公开。坚持把群众最关心、最需要了解的“权、钱、人、事”等事项公开作为政务公开的重点，切实发挥好政府信息公开的作用。本机关2022年度未收到政府信息依申请公开。</w:t>
      </w:r>
      <w:r>
        <w:rPr>
          <w:rFonts w:hint="eastAsia" w:ascii="仿宋_GB2312" w:hAnsi="仿宋_GB2312" w:eastAsia="仿宋_GB2312" w:cs="Times New Roman"/>
          <w:color w:val="000000"/>
          <w:sz w:val="32"/>
          <w:lang w:val="en-US" w:eastAsia="zh-CN"/>
        </w:rPr>
        <w:br w:type="textWrapping"/>
      </w:r>
      <w:r>
        <w:rPr>
          <w:rFonts w:hint="eastAsia" w:ascii="仿宋_GB2312" w:hAnsi="仿宋_GB2312" w:eastAsia="仿宋_GB2312" w:cs="Times New Roman"/>
          <w:color w:val="000000"/>
          <w:sz w:val="32"/>
          <w:lang w:val="en-US" w:eastAsia="zh-CN"/>
        </w:rPr>
        <w:t xml:space="preserve">   </w:t>
      </w:r>
      <w:r>
        <w:rPr>
          <w:rFonts w:hint="eastAsia" w:ascii="楷体" w:hAnsi="楷体" w:eastAsia="楷体" w:cs="楷体"/>
          <w:color w:val="000000"/>
          <w:sz w:val="32"/>
          <w:lang w:val="en-US" w:eastAsia="zh-CN"/>
        </w:rPr>
        <w:t>（三）严格落实政府信息公开监督。</w:t>
      </w:r>
      <w:r>
        <w:rPr>
          <w:rFonts w:hint="eastAsia" w:ascii="仿宋_GB2312" w:hAnsi="仿宋_GB2312" w:eastAsia="仿宋_GB2312" w:cs="Times New Roman"/>
          <w:color w:val="000000"/>
          <w:sz w:val="32"/>
          <w:lang w:val="en-US" w:eastAsia="zh-CN"/>
        </w:rPr>
        <w:t>一是强化单位内部监督，机关内各科室相互协调配合，由综合科牵头做好政府信息公开的日常监督和组织协调，发现问题，及时纠正，督促整改，并纳入年度考核目标；二是自觉接受群众监督，在政府信息公开网公开监督投诉电话。对收到的各种投诉，及时查实，及时处理。对群众反映的问题及时向领导反馈并及时整改；三是规范政务新媒体监管。理顺政务新媒体管理体制，利用区政府的新媒体监测平台，保证政务新媒体的更新频率和内容发布安全，实时修正整改发布内容中涉及的一般性错别字。同时，开展系统内新媒体自查工作，系统微信、微博等新媒体全部合格</w:t>
      </w:r>
      <w:r>
        <w:rPr>
          <w:rFonts w:hint="eastAsia" w:ascii="仿宋_GB2312" w:hAnsi="仿宋_GB2312" w:eastAsia="仿宋_GB2312" w:cs="Times New Roman"/>
          <w:color w:val="000000"/>
          <w:sz w:val="32"/>
          <w:szCs w:val="22"/>
          <w:lang w:val="en-US" w:eastAsia="zh-CN"/>
        </w:rPr>
        <w:t>。全年没有发生因政务公开工作被追究责任的情况。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outlineLvl w:val="9"/>
        <w:rPr>
          <w:rFonts w:hint="eastAsia" w:ascii="黑体" w:hAnsi="黑体" w:eastAsia="黑体" w:cs="黑体"/>
          <w:sz w:val="30"/>
          <w:szCs w:val="30"/>
        </w:rPr>
      </w:pPr>
      <w:r>
        <w:rPr>
          <w:rFonts w:hint="eastAsia" w:ascii="黑体" w:hAnsi="黑体" w:eastAsia="黑体" w:cs="黑体"/>
          <w:color w:val="000000"/>
          <w:sz w:val="32"/>
          <w:szCs w:val="32"/>
          <w:lang w:eastAsia="zh-CN"/>
        </w:rPr>
        <w:t>二、主动公开政府信息情况</w:t>
      </w:r>
    </w:p>
    <w:tbl>
      <w:tblPr>
        <w:tblStyle w:val="6"/>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
              </w:rPr>
              <w:t>3463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60" w:lineRule="exact"/>
        <w:textAlignment w:val="auto"/>
        <w:outlineLvl w:val="9"/>
        <w:rPr>
          <w:rFonts w:ascii="黑体" w:hAnsi="黑体" w:eastAsia="黑体"/>
          <w:sz w:val="30"/>
          <w:szCs w:val="30"/>
        </w:rPr>
      </w:pPr>
      <w:r>
        <w:rPr>
          <w:rFonts w:hint="eastAsia" w:ascii="黑体" w:hAnsi="黑体" w:eastAsia="黑体" w:cs="黑体"/>
          <w:color w:val="000000"/>
          <w:sz w:val="32"/>
          <w:szCs w:val="32"/>
          <w:lang w:val="en-US" w:eastAsia="zh-CN"/>
        </w:rPr>
        <w:t>三、收到和处理政府信息公开申请情况</w:t>
      </w:r>
    </w:p>
    <w:tbl>
      <w:tblPr>
        <w:tblStyle w:val="6"/>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numPr>
          <w:ilvl w:val="0"/>
          <w:numId w:val="0"/>
        </w:numPr>
        <w:kinsoku/>
        <w:wordWrap/>
        <w:overflowPunct/>
        <w:topLinePunct w:val="0"/>
        <w:autoSpaceDE/>
        <w:autoSpaceDN/>
        <w:bidi w:val="0"/>
        <w:spacing w:before="312" w:beforeLines="100" w:after="156" w:afterLines="50" w:line="400" w:lineRule="exact"/>
        <w:ind w:firstLine="640" w:firstLineChars="200"/>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6"/>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pStyle w:val="2"/>
        <w:rPr>
          <w:rFonts w:hint="eastAsia"/>
        </w:rPr>
      </w:pPr>
    </w:p>
    <w:p>
      <w:pPr>
        <w:shd w:val="clear" w:color="auto" w:fill="FFFFFF"/>
        <w:spacing w:after="240"/>
        <w:ind w:firstLine="640" w:firstLineChars="200"/>
        <w:rPr>
          <w:rFonts w:hint="eastAsia" w:ascii="黑体" w:hAnsi="黑体" w:eastAsia="黑体" w:cs="宋体"/>
          <w:bCs/>
          <w:color w:val="000000"/>
          <w:kern w:val="0"/>
          <w:sz w:val="32"/>
          <w:szCs w:val="32"/>
        </w:rPr>
      </w:pPr>
    </w:p>
    <w:p>
      <w:pPr>
        <w:shd w:val="clear" w:color="auto" w:fill="FFFFFF"/>
        <w:spacing w:line="580" w:lineRule="exact"/>
        <w:ind w:firstLine="48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五、存在的主要问题及改进情况</w:t>
      </w:r>
    </w:p>
    <w:p>
      <w:pPr>
        <w:pStyle w:val="2"/>
        <w:spacing w:line="580" w:lineRule="exact"/>
        <w:ind w:firstLine="640" w:firstLineChars="200"/>
        <w:rPr>
          <w:rFonts w:hint="eastAsia" w:ascii="仿宋" w:hAnsi="仿宋" w:eastAsia="仿宋"/>
          <w:i w:val="0"/>
          <w:color w:val="000000"/>
          <w:sz w:val="32"/>
          <w:shd w:val="clear" w:color="auto" w:fill="FFFFFF"/>
        </w:rPr>
      </w:pPr>
      <w:r>
        <w:rPr>
          <w:rFonts w:hint="eastAsia" w:ascii="楷体" w:hAnsi="楷体" w:eastAsia="楷体" w:cs="楷体"/>
          <w:i w:val="0"/>
          <w:iCs/>
          <w:color w:val="000000"/>
          <w:kern w:val="0"/>
          <w:sz w:val="32"/>
          <w:szCs w:val="32"/>
          <w:lang w:eastAsia="zh-CN"/>
        </w:rPr>
        <w:t>（一）</w:t>
      </w:r>
      <w:r>
        <w:rPr>
          <w:rFonts w:hint="eastAsia" w:ascii="楷体" w:hAnsi="楷体" w:eastAsia="楷体" w:cs="楷体"/>
          <w:i w:val="0"/>
          <w:iCs/>
          <w:color w:val="000000"/>
          <w:kern w:val="0"/>
          <w:sz w:val="32"/>
          <w:szCs w:val="32"/>
        </w:rPr>
        <w:t>主要问题。</w:t>
      </w:r>
      <w:r>
        <w:rPr>
          <w:rFonts w:hint="eastAsia" w:ascii="仿宋" w:hAnsi="仿宋" w:eastAsia="仿宋"/>
          <w:i w:val="0"/>
          <w:color w:val="000000"/>
          <w:sz w:val="32"/>
          <w:shd w:val="clear" w:color="auto" w:fill="FFFFFF"/>
        </w:rPr>
        <w:t>一是工作力量还需继续加强。虽然都按要求落实人员负责政务公开工作，但因工作人员身兼数职，投入精力有限</w:t>
      </w:r>
      <w:r>
        <w:rPr>
          <w:rFonts w:hint="eastAsia" w:ascii="仿宋" w:hAnsi="仿宋" w:eastAsia="仿宋"/>
          <w:i w:val="0"/>
          <w:color w:val="000000"/>
          <w:sz w:val="32"/>
          <w:shd w:val="clear" w:color="auto" w:fill="FFFFFF"/>
          <w:lang w:eastAsia="zh-CN"/>
        </w:rPr>
        <w:t>，且工作人员政府信息公开意识强弱不一，认识有待进一步提升；</w:t>
      </w:r>
      <w:r>
        <w:rPr>
          <w:rFonts w:hint="eastAsia" w:ascii="仿宋" w:hAnsi="仿宋" w:eastAsia="仿宋"/>
          <w:i w:val="0"/>
          <w:color w:val="000000"/>
          <w:sz w:val="32"/>
          <w:shd w:val="clear" w:color="auto" w:fill="FFFFFF"/>
        </w:rPr>
        <w:t>二是主动公开的</w:t>
      </w:r>
      <w:r>
        <w:rPr>
          <w:rFonts w:hint="eastAsia" w:ascii="仿宋" w:hAnsi="仿宋" w:eastAsia="仿宋"/>
          <w:i w:val="0"/>
          <w:color w:val="000000"/>
          <w:sz w:val="32"/>
          <w:shd w:val="clear" w:color="auto" w:fill="FFFFFF"/>
          <w:lang w:eastAsia="zh-CN"/>
        </w:rPr>
        <w:t>内容</w:t>
      </w:r>
      <w:r>
        <w:rPr>
          <w:rFonts w:hint="eastAsia" w:ascii="仿宋" w:hAnsi="仿宋" w:eastAsia="仿宋"/>
          <w:i w:val="0"/>
          <w:color w:val="000000"/>
          <w:sz w:val="32"/>
          <w:shd w:val="clear" w:color="auto" w:fill="FFFFFF"/>
        </w:rPr>
        <w:t>广度、深度</w:t>
      </w:r>
      <w:r>
        <w:rPr>
          <w:rFonts w:hint="eastAsia" w:ascii="仿宋" w:hAnsi="仿宋" w:eastAsia="仿宋"/>
          <w:i w:val="0"/>
          <w:color w:val="000000"/>
          <w:sz w:val="32"/>
          <w:shd w:val="clear" w:color="auto" w:fill="FFFFFF"/>
          <w:lang w:eastAsia="zh-CN"/>
        </w:rPr>
        <w:t>还需进一步</w:t>
      </w:r>
      <w:r>
        <w:rPr>
          <w:rFonts w:hint="eastAsia" w:ascii="仿宋" w:hAnsi="仿宋" w:eastAsia="仿宋"/>
          <w:i w:val="0"/>
          <w:color w:val="000000"/>
          <w:sz w:val="32"/>
          <w:shd w:val="clear" w:color="auto" w:fill="FFFFFF"/>
        </w:rPr>
        <w:t>提升。三是工作方式还需继续改革创新，在公开的方式方法上改革创新的办法还不够多。</w:t>
      </w:r>
    </w:p>
    <w:p>
      <w:pPr>
        <w:pStyle w:val="2"/>
        <w:spacing w:line="580" w:lineRule="exact"/>
        <w:ind w:firstLine="640" w:firstLineChars="200"/>
        <w:rPr>
          <w:rFonts w:hint="eastAsia" w:ascii="仿宋" w:hAnsi="仿宋" w:eastAsia="仿宋" w:cs="宋体"/>
          <w:color w:val="000000"/>
          <w:kern w:val="0"/>
          <w:sz w:val="32"/>
          <w:szCs w:val="32"/>
          <w:lang w:eastAsia="zh-CN"/>
        </w:rPr>
      </w:pPr>
      <w:r>
        <w:rPr>
          <w:rFonts w:hint="eastAsia" w:ascii="仿宋" w:hAnsi="仿宋" w:eastAsia="仿宋" w:cs="宋体"/>
          <w:i w:val="0"/>
          <w:iCs/>
          <w:color w:val="000000"/>
          <w:kern w:val="0"/>
          <w:sz w:val="32"/>
          <w:szCs w:val="32"/>
          <w:lang w:eastAsia="zh-CN"/>
        </w:rPr>
        <w:t>（二）</w:t>
      </w:r>
      <w:r>
        <w:rPr>
          <w:rFonts w:hint="eastAsia" w:ascii="仿宋" w:hAnsi="仿宋" w:eastAsia="仿宋" w:cs="宋体"/>
          <w:i w:val="0"/>
          <w:iCs/>
          <w:color w:val="000000"/>
          <w:kern w:val="0"/>
          <w:sz w:val="32"/>
          <w:szCs w:val="32"/>
        </w:rPr>
        <w:t>改进措施。</w:t>
      </w:r>
      <w:r>
        <w:rPr>
          <w:rFonts w:hint="eastAsia" w:ascii="仿宋" w:hAnsi="仿宋" w:eastAsia="仿宋"/>
          <w:i w:val="0"/>
          <w:color w:val="000000"/>
          <w:sz w:val="32"/>
          <w:shd w:val="clear" w:color="auto" w:fill="FFFFFF"/>
        </w:rPr>
        <w:t>一是加强指导督导，进一步形成工作合力；二是深入推进基层政务公开标准化规范化建设，严格公开程序，进一步夯实政务公开工作基础；三是创新公开方式，</w:t>
      </w:r>
      <w:r>
        <w:rPr>
          <w:rFonts w:hint="eastAsia" w:ascii="仿宋" w:hAnsi="仿宋" w:eastAsia="仿宋"/>
          <w:i w:val="0"/>
          <w:color w:val="000000"/>
          <w:sz w:val="32"/>
          <w:shd w:val="clear" w:color="auto" w:fill="FFFFFF"/>
          <w:lang w:eastAsia="zh-CN"/>
        </w:rPr>
        <w:t>积极探索新措施、新方法。</w:t>
      </w:r>
      <w:bookmarkStart w:id="0" w:name="_GoBack"/>
      <w:bookmarkEnd w:id="0"/>
    </w:p>
    <w:p>
      <w:pPr>
        <w:shd w:val="clear" w:color="auto" w:fill="FFFFFF"/>
        <w:spacing w:line="580" w:lineRule="exact"/>
        <w:ind w:firstLine="480"/>
        <w:rPr>
          <w:rFonts w:ascii="黑体" w:hAnsi="黑体" w:eastAsia="黑体" w:cs="宋体"/>
          <w:color w:val="000000"/>
          <w:kern w:val="0"/>
          <w:sz w:val="32"/>
          <w:szCs w:val="32"/>
        </w:rPr>
      </w:pPr>
      <w:r>
        <w:rPr>
          <w:rFonts w:hint="eastAsia" w:ascii="黑体" w:hAnsi="黑体" w:eastAsia="黑体" w:cs="宋体"/>
          <w:bCs/>
          <w:color w:val="000000"/>
          <w:kern w:val="0"/>
          <w:sz w:val="32"/>
          <w:szCs w:val="32"/>
        </w:rPr>
        <w:t>六、其他需要报告的事项</w:t>
      </w:r>
    </w:p>
    <w:p>
      <w:pPr>
        <w:pStyle w:val="5"/>
        <w:shd w:val="clear" w:color="auto" w:fill="FFFFFF"/>
        <w:spacing w:beforeAutospacing="0" w:afterAutospacing="0" w:line="480" w:lineRule="atLeast"/>
        <w:ind w:firstLine="420"/>
        <w:jc w:val="both"/>
        <w:rPr>
          <w:rFonts w:hint="default" w:ascii="仿宋" w:hAnsi="仿宋" w:eastAsia="仿宋"/>
          <w:color w:val="000000"/>
          <w:kern w:val="2"/>
          <w:sz w:val="32"/>
          <w:shd w:val="clear" w:color="auto" w:fill="FFFFFF"/>
          <w:lang w:val="en-US" w:eastAsia="zh-CN"/>
        </w:rPr>
      </w:pPr>
      <w:r>
        <w:rPr>
          <w:rFonts w:hint="eastAsia" w:ascii="仿宋" w:hAnsi="仿宋" w:eastAsia="仿宋"/>
          <w:color w:val="000000"/>
          <w:kern w:val="2"/>
          <w:sz w:val="32"/>
          <w:shd w:val="clear" w:color="auto" w:fill="FFFFFF"/>
          <w:lang w:eastAsia="zh-CN"/>
        </w:rPr>
        <w:t>本机关</w:t>
      </w:r>
      <w:r>
        <w:rPr>
          <w:rFonts w:hint="eastAsia" w:ascii="仿宋" w:hAnsi="仿宋" w:eastAsia="仿宋"/>
          <w:color w:val="000000"/>
          <w:kern w:val="2"/>
          <w:sz w:val="32"/>
          <w:shd w:val="clear" w:color="auto" w:fill="FFFFFF"/>
          <w:lang w:val="en-US" w:eastAsia="zh-CN"/>
        </w:rPr>
        <w:t>2022年度未收到政府信息公开申请，故未产生任何有关政府信息公开信息处理事项及费用。特此说明。</w:t>
      </w:r>
    </w:p>
    <w:p>
      <w:pPr>
        <w:pStyle w:val="5"/>
        <w:shd w:val="clear" w:color="auto" w:fill="FFFFFF"/>
        <w:spacing w:beforeAutospacing="0" w:afterAutospacing="0" w:line="480" w:lineRule="atLeast"/>
        <w:ind w:firstLine="420"/>
        <w:jc w:val="right"/>
        <w:rPr>
          <w:rFonts w:hint="eastAsia" w:ascii="仿宋" w:hAnsi="仿宋" w:eastAsia="仿宋"/>
          <w:color w:val="000000"/>
          <w:kern w:val="2"/>
          <w:sz w:val="32"/>
          <w:shd w:val="clear" w:color="auto" w:fill="FFFFFF"/>
          <w:lang w:eastAsia="zh-CN"/>
        </w:rPr>
      </w:pPr>
    </w:p>
    <w:p>
      <w:pPr>
        <w:pStyle w:val="5"/>
        <w:shd w:val="clear" w:color="auto" w:fill="FFFFFF"/>
        <w:spacing w:beforeAutospacing="0" w:afterAutospacing="0" w:line="480" w:lineRule="atLeast"/>
        <w:ind w:firstLine="420"/>
        <w:jc w:val="right"/>
        <w:rPr>
          <w:rFonts w:ascii="仿宋" w:hAnsi="仿宋" w:eastAsia="仿宋"/>
          <w:color w:val="000000"/>
          <w:kern w:val="2"/>
          <w:sz w:val="32"/>
          <w:shd w:val="clear" w:color="auto" w:fill="FFFFFF"/>
        </w:rPr>
      </w:pPr>
      <w:r>
        <w:rPr>
          <w:rFonts w:hint="eastAsia" w:ascii="仿宋" w:hAnsi="仿宋" w:eastAsia="仿宋"/>
          <w:color w:val="000000"/>
          <w:kern w:val="2"/>
          <w:sz w:val="32"/>
          <w:shd w:val="clear" w:color="auto" w:fill="FFFFFF"/>
          <w:lang w:eastAsia="zh-CN"/>
        </w:rPr>
        <w:t>宁波市</w:t>
      </w:r>
      <w:r>
        <w:rPr>
          <w:rFonts w:hint="eastAsia" w:ascii="仿宋" w:hAnsi="仿宋" w:eastAsia="仿宋"/>
          <w:color w:val="000000"/>
          <w:kern w:val="2"/>
          <w:sz w:val="32"/>
          <w:shd w:val="clear" w:color="auto" w:fill="FFFFFF"/>
        </w:rPr>
        <w:t>北仑区卫生健康局</w:t>
      </w:r>
    </w:p>
    <w:p>
      <w:pPr>
        <w:pStyle w:val="5"/>
        <w:shd w:val="clear" w:color="auto" w:fill="FFFFFF"/>
        <w:spacing w:beforeAutospacing="0" w:afterAutospacing="0" w:line="480" w:lineRule="atLeast"/>
        <w:ind w:firstLine="420"/>
        <w:jc w:val="right"/>
        <w:rPr>
          <w:rFonts w:ascii="仿宋" w:hAnsi="仿宋" w:eastAsia="仿宋"/>
          <w:color w:val="000000"/>
          <w:kern w:val="2"/>
          <w:sz w:val="32"/>
          <w:shd w:val="clear" w:color="auto" w:fill="FFFFFF"/>
        </w:rPr>
      </w:pPr>
      <w:r>
        <w:rPr>
          <w:rFonts w:hint="eastAsia" w:ascii="仿宋" w:hAnsi="仿宋" w:eastAsia="仿宋"/>
          <w:color w:val="000000"/>
          <w:kern w:val="2"/>
          <w:sz w:val="32"/>
          <w:shd w:val="clear" w:color="auto" w:fill="FFFFFF"/>
        </w:rPr>
        <w:t>202</w:t>
      </w:r>
      <w:r>
        <w:rPr>
          <w:rFonts w:hint="eastAsia" w:ascii="仿宋" w:hAnsi="仿宋" w:eastAsia="仿宋"/>
          <w:color w:val="000000"/>
          <w:kern w:val="2"/>
          <w:sz w:val="32"/>
          <w:shd w:val="clear" w:color="auto" w:fill="FFFFFF"/>
          <w:lang w:val="en-US" w:eastAsia="zh"/>
        </w:rPr>
        <w:t>2</w:t>
      </w:r>
      <w:r>
        <w:rPr>
          <w:rFonts w:hint="eastAsia" w:ascii="仿宋" w:hAnsi="仿宋" w:eastAsia="仿宋"/>
          <w:color w:val="000000"/>
          <w:kern w:val="2"/>
          <w:sz w:val="32"/>
          <w:shd w:val="clear" w:color="auto" w:fill="FFFFFF"/>
        </w:rPr>
        <w:t>年1</w:t>
      </w:r>
      <w:r>
        <w:rPr>
          <w:rFonts w:hint="eastAsia" w:ascii="仿宋" w:hAnsi="仿宋" w:eastAsia="仿宋"/>
          <w:color w:val="000000"/>
          <w:kern w:val="2"/>
          <w:sz w:val="32"/>
          <w:shd w:val="clear" w:color="auto" w:fill="FFFFFF"/>
          <w:lang w:val="en-US" w:eastAsia="zh-CN"/>
        </w:rPr>
        <w:t>2</w:t>
      </w:r>
      <w:r>
        <w:rPr>
          <w:rFonts w:hint="eastAsia" w:ascii="仿宋" w:hAnsi="仿宋" w:eastAsia="仿宋"/>
          <w:color w:val="000000"/>
          <w:kern w:val="2"/>
          <w:sz w:val="32"/>
          <w:shd w:val="clear" w:color="auto" w:fill="FFFFFF"/>
        </w:rPr>
        <w:t>月</w:t>
      </w:r>
      <w:r>
        <w:rPr>
          <w:rFonts w:hint="eastAsia" w:ascii="仿宋" w:hAnsi="仿宋" w:eastAsia="仿宋"/>
          <w:color w:val="000000"/>
          <w:kern w:val="2"/>
          <w:sz w:val="32"/>
          <w:shd w:val="clear" w:color="auto" w:fill="FFFFFF"/>
          <w:lang w:val="en-US" w:eastAsia="zh-CN"/>
        </w:rPr>
        <w:t>26</w:t>
      </w:r>
      <w:r>
        <w:rPr>
          <w:rFonts w:hint="eastAsia" w:ascii="仿宋" w:hAnsi="仿宋" w:eastAsia="仿宋"/>
          <w:color w:val="000000"/>
          <w:kern w:val="2"/>
          <w:sz w:val="32"/>
          <w:shd w:val="clear" w:color="auto" w:fill="FFFFFF"/>
        </w:rPr>
        <w:t>日</w:t>
      </w:r>
    </w:p>
    <w:p>
      <w:pPr>
        <w:pStyle w:val="2"/>
        <w:rPr>
          <w:rFonts w:hint="eastAsia" w:ascii="仿宋_GB2312" w:hAnsi="仿宋_GB2312" w:eastAsia="仿宋_GB2312"/>
          <w:color w:val="000000"/>
          <w:sz w:val="32"/>
        </w:rPr>
      </w:pPr>
    </w:p>
    <w:p>
      <w:pPr>
        <w:pStyle w:val="2"/>
        <w:rPr>
          <w:rFonts w:hint="eastAsia" w:ascii="仿宋_GB2312" w:hAnsi="仿宋_GB2312" w:eastAsia="仿宋_GB2312"/>
          <w:color w:val="000000"/>
          <w:sz w:val="32"/>
        </w:rPr>
      </w:pPr>
    </w:p>
    <w:p>
      <w:pPr>
        <w:pStyle w:val="2"/>
        <w:rPr>
          <w:rFonts w:hint="eastAsia" w:ascii="仿宋_GB2312" w:hAnsi="仿宋_GB2312" w:eastAsia="仿宋_GB2312"/>
          <w:color w:val="000000"/>
          <w:sz w:val="32"/>
        </w:rPr>
      </w:pPr>
    </w:p>
    <w:p>
      <w:pPr>
        <w:pStyle w:val="2"/>
        <w:rPr>
          <w:rFonts w:hint="eastAsia" w:ascii="仿宋_GB2312" w:hAnsi="仿宋_GB2312" w:eastAsia="仿宋_GB2312"/>
          <w:color w:val="000000"/>
          <w:sz w:val="32"/>
        </w:rPr>
      </w:pPr>
    </w:p>
    <w:p>
      <w:pPr>
        <w:pStyle w:val="2"/>
        <w:rPr>
          <w:rFonts w:hint="eastAsia" w:ascii="仿宋_GB2312" w:hAnsi="仿宋_GB2312" w:eastAsia="仿宋_GB2312"/>
          <w:color w:val="000000"/>
          <w:sz w:val="32"/>
        </w:rPr>
      </w:pPr>
    </w:p>
    <w:p/>
    <w:sectPr>
      <w:footerReference r:id="rId3" w:type="default"/>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0WrDzrEBAABRAwAADgAAAAAAAAABACAAAAA0AQAAZHJzL2Uyb0RvYy54&#10;bWxQSwUGAAAAAAYABgBZAQAAVwUAAAAA&#10;">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706226"/>
    <w:rsid w:val="10706226"/>
    <w:rsid w:val="5FEF45A5"/>
    <w:rsid w:val="B7773CC4"/>
    <w:rsid w:val="BA7B23C6"/>
    <w:rsid w:val="FE734873"/>
    <w:rsid w:val="FFFE4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footer"/>
    <w:basedOn w:val="1"/>
    <w:unhideWhenUsed/>
    <w:qFormat/>
    <w:uiPriority w:val="99"/>
    <w:pPr>
      <w:tabs>
        <w:tab w:val="center" w:pos="4153"/>
        <w:tab w:val="right" w:pos="8306"/>
      </w:tabs>
      <w:snapToGrid w:val="0"/>
      <w:jc w:val="left"/>
    </w:pPr>
    <w:rPr>
      <w:rFonts w:hint="default"/>
      <w:sz w:val="18"/>
    </w:rPr>
  </w:style>
  <w:style w:type="paragraph" w:styleId="5">
    <w:name w:val="Normal (Web)"/>
    <w:basedOn w:val="1"/>
    <w:unhideWhenUsed/>
    <w:qFormat/>
    <w:uiPriority w:val="99"/>
    <w:pPr>
      <w:spacing w:before="100" w:beforeAutospacing="1" w:after="10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2022-12-26T22:36:00Z</dcterms:created>
  <dc:creator>Administrator</dc:creator>
  <cp:lastModifiedBy>guest</cp:lastModifiedBy>
  <dcterms:modified xsi:type="dcterms:W3CDTF">2023-01-13T14:49:55Z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