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60" w:lineRule="exact"/>
        <w:jc w:val="center"/>
        <w:rPr>
          <w:rFonts w:hint="eastAsia" w:ascii="方正小标宋简体" w:eastAsia="方正小标宋简体"/>
          <w:kern w:val="0"/>
          <w:sz w:val="44"/>
          <w:szCs w:val="44"/>
        </w:rPr>
      </w:pPr>
    </w:p>
    <w:p>
      <w:pPr>
        <w:spacing w:line="560" w:lineRule="exact"/>
        <w:jc w:val="center"/>
        <w:rPr>
          <w:rFonts w:hint="eastAsia" w:ascii="方正小标宋简体" w:eastAsia="方正小标宋简体"/>
          <w:kern w:val="0"/>
          <w:sz w:val="44"/>
          <w:szCs w:val="44"/>
        </w:rPr>
      </w:pPr>
      <w:r>
        <w:rPr>
          <w:rFonts w:hint="eastAsia" w:ascii="方正小标宋简体" w:eastAsia="方正小标宋简体"/>
          <w:kern w:val="0"/>
          <w:sz w:val="44"/>
          <w:szCs w:val="44"/>
        </w:rPr>
        <w:t>宁波市</w:t>
      </w:r>
      <w:r>
        <w:rPr>
          <w:rFonts w:hint="eastAsia" w:ascii="方正小标宋简体" w:eastAsia="方正小标宋简体"/>
          <w:kern w:val="0"/>
          <w:sz w:val="44"/>
          <w:szCs w:val="44"/>
          <w:lang w:eastAsia="zh-CN"/>
        </w:rPr>
        <w:t>北仑</w:t>
      </w:r>
      <w:r>
        <w:rPr>
          <w:rFonts w:hint="eastAsia" w:ascii="方正小标宋简体" w:eastAsia="方正小标宋简体"/>
          <w:kern w:val="0"/>
          <w:sz w:val="44"/>
          <w:szCs w:val="44"/>
        </w:rPr>
        <w:t>区</w:t>
      </w:r>
      <w:r>
        <w:rPr>
          <w:rFonts w:hint="eastAsia" w:ascii="方正小标宋简体" w:eastAsia="方正小标宋简体"/>
          <w:kern w:val="0"/>
          <w:sz w:val="44"/>
          <w:szCs w:val="44"/>
          <w:lang w:eastAsia="zh-CN"/>
        </w:rPr>
        <w:t>中国人民银行北仑支行</w:t>
      </w:r>
    </w:p>
    <w:p>
      <w:pPr>
        <w:spacing w:line="560" w:lineRule="exact"/>
        <w:jc w:val="center"/>
        <w:outlineLvl w:val="0"/>
        <w:rPr>
          <w:rFonts w:hint="eastAsia" w:ascii="方正小标宋简体" w:eastAsia="方正小标宋简体"/>
          <w:kern w:val="0"/>
          <w:sz w:val="44"/>
          <w:szCs w:val="44"/>
        </w:rPr>
      </w:pPr>
      <w:r>
        <w:rPr>
          <w:rFonts w:hint="eastAsia" w:ascii="方正小标宋简体" w:eastAsia="方正小标宋简体"/>
          <w:kern w:val="0"/>
          <w:sz w:val="44"/>
          <w:szCs w:val="44"/>
        </w:rPr>
        <w:t>2021年度政府信息公开工作年度报告</w:t>
      </w:r>
    </w:p>
    <w:p>
      <w:pPr>
        <w:spacing w:line="560" w:lineRule="exact"/>
        <w:jc w:val="center"/>
        <w:outlineLvl w:val="0"/>
        <w:rPr>
          <w:rFonts w:hint="eastAsia" w:ascii="方正小标宋简体" w:eastAsia="方正小标宋简体"/>
          <w:kern w:val="0"/>
          <w:sz w:val="44"/>
          <w:szCs w:val="44"/>
          <w:lang w:eastAsia="zh-CN"/>
        </w:rPr>
      </w:pPr>
    </w:p>
    <w:p>
      <w:pPr>
        <w:pStyle w:val="6"/>
        <w:widowControl/>
        <w:wordWrap/>
        <w:adjustRightInd/>
        <w:snapToGrid/>
        <w:spacing w:before="0" w:beforeAutospacing="0" w:after="0" w:afterAutospacing="0" w:line="560" w:lineRule="exact"/>
        <w:ind w:firstLine="632" w:firstLineChars="200"/>
        <w:jc w:val="both"/>
        <w:textAlignment w:val="auto"/>
        <w:rPr>
          <w:rFonts w:hint="eastAsia" w:ascii="黑体" w:hAnsi="黑体" w:eastAsia="黑体" w:cs="Times New Roman"/>
          <w:szCs w:val="32"/>
        </w:rPr>
      </w:pPr>
      <w:r>
        <w:rPr>
          <w:rFonts w:hint="eastAsia" w:ascii="Times New Roman" w:hAnsi="Times New Roman" w:cs="Times New Roman"/>
          <w:szCs w:val="32"/>
          <w:lang w:val="en-US" w:eastAsia="zh-CN"/>
        </w:rPr>
        <w:t>编制说明：本年度报告根据《中华人民共和国政府信息公开条例》（国务院令第711号）和</w:t>
      </w:r>
      <w:r>
        <w:rPr>
          <w:rFonts w:hint="eastAsia"/>
          <w:spacing w:val="-4"/>
          <w:kern w:val="2"/>
          <w:lang w:val="en-US" w:eastAsia="zh-CN"/>
        </w:rPr>
        <w:t>《国务院办公厅政府信息与政务公开办公室关于印发中华人民共和国政府信息公开工作年度报告格式的通知》（国办公开办函〔2021〕30号</w:t>
      </w:r>
      <w:r>
        <w:rPr>
          <w:rFonts w:hint="eastAsia" w:ascii="仿宋_GB2312" w:hAnsi="仿宋_GB2312" w:cs="仿宋_GB2312"/>
          <w:sz w:val="32"/>
          <w:szCs w:val="32"/>
          <w:lang w:val="en-US" w:eastAsia="zh-CN"/>
        </w:rPr>
        <w:t>）</w:t>
      </w:r>
      <w:r>
        <w:rPr>
          <w:rFonts w:hint="eastAsia" w:ascii="Times New Roman" w:hAnsi="Times New Roman" w:cs="Times New Roman"/>
          <w:szCs w:val="32"/>
          <w:lang w:val="en-US" w:eastAsia="zh-CN"/>
        </w:rPr>
        <w:t>要求，结合</w:t>
      </w:r>
      <w:r>
        <w:rPr>
          <w:rFonts w:hint="eastAsia" w:cs="Times New Roman"/>
          <w:szCs w:val="32"/>
          <w:lang w:val="en-US" w:eastAsia="zh-CN"/>
        </w:rPr>
        <w:t>中国人民银行北仑支行</w:t>
      </w:r>
      <w:r>
        <w:rPr>
          <w:rFonts w:hint="eastAsia" w:ascii="Times New Roman" w:hAnsi="Times New Roman" w:cs="Times New Roman"/>
          <w:szCs w:val="32"/>
          <w:lang w:val="en-US" w:eastAsia="zh-CN"/>
        </w:rPr>
        <w:t>2021年度政府信息公开工作实际编制。全文包含</w:t>
      </w:r>
      <w:r>
        <w:rPr>
          <w:rFonts w:hint="eastAsia"/>
          <w:spacing w:val="-4"/>
          <w:kern w:val="2"/>
          <w:lang w:val="en-US" w:eastAsia="zh-CN"/>
        </w:rPr>
        <w:t>总体情况、主动公开政府信息情况、收到和处理政府信息公开申请情况、政府信息公开行政复议和行政诉讼情况、存在的主要问题及改进情况、其他需要报告的事项</w:t>
      </w:r>
      <w:r>
        <w:rPr>
          <w:rFonts w:hint="eastAsia" w:ascii="Times New Roman" w:hAnsi="Times New Roman" w:cs="Times New Roman"/>
          <w:szCs w:val="32"/>
          <w:lang w:val="en-US" w:eastAsia="zh-CN"/>
        </w:rPr>
        <w:t>五个方面。</w:t>
      </w:r>
      <w:r>
        <w:rPr>
          <w:rFonts w:hint="eastAsia" w:ascii="Times New Roman" w:hAnsi="Times New Roman" w:cs="Times New Roman"/>
          <w:szCs w:val="32"/>
          <w:lang w:eastAsia="zh-CN"/>
        </w:rPr>
        <w:t>本报告中所列数据的统计期限从202</w:t>
      </w:r>
      <w:r>
        <w:rPr>
          <w:rFonts w:hint="eastAsia" w:ascii="Times New Roman" w:hAnsi="Times New Roman" w:cs="Times New Roman"/>
          <w:szCs w:val="32"/>
          <w:lang w:val="en-US" w:eastAsia="zh-CN"/>
        </w:rPr>
        <w:t>1</w:t>
      </w:r>
      <w:r>
        <w:rPr>
          <w:rFonts w:hint="eastAsia" w:ascii="Times New Roman" w:hAnsi="Times New Roman" w:cs="Times New Roman"/>
          <w:szCs w:val="32"/>
          <w:lang w:eastAsia="zh-CN"/>
        </w:rPr>
        <w:t>年1月1日到1</w:t>
      </w:r>
      <w:r>
        <w:rPr>
          <w:rFonts w:hint="eastAsia" w:ascii="Times New Roman" w:hAnsi="Times New Roman" w:cs="Times New Roman"/>
          <w:szCs w:val="32"/>
          <w:lang w:val="en-US" w:eastAsia="zh-CN"/>
        </w:rPr>
        <w:t>2</w:t>
      </w:r>
      <w:r>
        <w:rPr>
          <w:rFonts w:hint="eastAsia" w:ascii="Times New Roman" w:hAnsi="Times New Roman" w:cs="Times New Roman"/>
          <w:szCs w:val="32"/>
          <w:lang w:eastAsia="zh-CN"/>
        </w:rPr>
        <w:t>月31日止。如对本报告所涉内容有咨询或疑问，请与中国人民银行北仑支行办公室联系（地址：宁波市北仑区明州西路</w:t>
      </w:r>
      <w:r>
        <w:rPr>
          <w:rFonts w:hint="eastAsia" w:ascii="Times New Roman" w:hAnsi="Times New Roman" w:cs="Times New Roman"/>
          <w:szCs w:val="32"/>
          <w:lang w:val="en-US" w:eastAsia="zh-CN"/>
        </w:rPr>
        <w:t>185号金贸大厦四楼政务公开办公室</w:t>
      </w:r>
      <w:r>
        <w:rPr>
          <w:rFonts w:hint="eastAsia" w:ascii="Times New Roman" w:hAnsi="Times New Roman" w:cs="Times New Roman"/>
          <w:szCs w:val="32"/>
          <w:lang w:eastAsia="zh-CN"/>
        </w:rPr>
        <w:t>，邮编：315</w:t>
      </w:r>
      <w:r>
        <w:rPr>
          <w:rFonts w:hint="eastAsia" w:ascii="Times New Roman" w:hAnsi="Times New Roman" w:cs="Times New Roman"/>
          <w:szCs w:val="32"/>
          <w:lang w:val="en-US" w:eastAsia="zh-CN"/>
        </w:rPr>
        <w:t>899,</w:t>
      </w:r>
      <w:r>
        <w:rPr>
          <w:rFonts w:hint="eastAsia" w:ascii="Times New Roman" w:hAnsi="Times New Roman" w:cs="Times New Roman"/>
          <w:szCs w:val="32"/>
          <w:lang w:eastAsia="zh-CN"/>
        </w:rPr>
        <w:t>电话:0574-</w:t>
      </w:r>
      <w:r>
        <w:rPr>
          <w:rFonts w:hint="eastAsia" w:ascii="Times New Roman" w:hAnsi="Times New Roman" w:cs="Times New Roman"/>
          <w:szCs w:val="32"/>
          <w:lang w:val="en-US" w:eastAsia="zh-CN"/>
        </w:rPr>
        <w:t>86961253</w:t>
      </w:r>
      <w:r>
        <w:rPr>
          <w:rFonts w:hint="eastAsia" w:ascii="Times New Roman" w:hAnsi="Times New Roman" w:cs="Times New Roman"/>
          <w:szCs w:val="32"/>
          <w:lang w:eastAsia="zh-CN"/>
        </w:rPr>
        <w:t>）</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黑体" w:hAnsi="黑体" w:eastAsia="黑体" w:cs="Times New Roman"/>
          <w:szCs w:val="32"/>
        </w:rPr>
      </w:pPr>
      <w:r>
        <w:rPr>
          <w:rFonts w:hint="eastAsia" w:ascii="黑体" w:hAnsi="黑体" w:eastAsia="黑体" w:cs="Times New Roman"/>
          <w:szCs w:val="32"/>
        </w:rPr>
        <w:t>一、总体情况</w:t>
      </w:r>
    </w:p>
    <w:p>
      <w:pPr>
        <w:widowControl/>
        <w:wordWrap/>
        <w:adjustRightInd/>
        <w:snapToGrid/>
        <w:spacing w:line="560" w:lineRule="exact"/>
        <w:ind w:left="0" w:leftChars="0" w:right="0" w:firstLine="632" w:firstLineChars="200"/>
        <w:jc w:val="both"/>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202</w:t>
      </w:r>
      <w:r>
        <w:rPr>
          <w:rFonts w:hint="eastAsia" w:ascii="仿宋_GB2312" w:hAnsi="仿宋_GB2312" w:cs="仿宋_GB2312"/>
          <w:kern w:val="0"/>
          <w:sz w:val="32"/>
          <w:szCs w:val="32"/>
          <w:lang w:val="en-US" w:eastAsia="zh-CN" w:bidi="ar-SA"/>
        </w:rPr>
        <w:t>1</w:t>
      </w:r>
      <w:r>
        <w:rPr>
          <w:rFonts w:hint="eastAsia" w:ascii="仿宋_GB2312" w:hAnsi="仿宋_GB2312" w:eastAsia="仿宋_GB2312" w:cs="仿宋_GB2312"/>
          <w:kern w:val="0"/>
          <w:sz w:val="32"/>
          <w:szCs w:val="32"/>
          <w:lang w:val="en-US" w:eastAsia="zh-CN" w:bidi="ar-SA"/>
        </w:rPr>
        <w:t>年，中国人民银行北仑支行坚持以习近平新时代中国特色社会主义思想为指导，认真贯彻《中华人民共和国政府信息公开条例》，认真落实上级行有关政府信息公开的规定，规范行政许可、行政处罚、工作指南等信息的公开，增强工作透明度，深化政民互动，有效提升政府信息公开工作水平。</w:t>
      </w:r>
      <w:r>
        <w:rPr>
          <w:rFonts w:hint="default" w:ascii="仿宋_GB2312" w:hAnsi="仿宋_GB2312" w:eastAsia="仿宋_GB2312" w:cs="仿宋_GB2312"/>
          <w:kern w:val="0"/>
          <w:sz w:val="32"/>
          <w:szCs w:val="32"/>
          <w:lang w:val="en-US" w:eastAsia="zh-CN" w:bidi="ar-SA"/>
        </w:rPr>
        <w:t>现将政府信息公开工作汇报如下：</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（一）主动公开情况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Times New Roman" w:hAnsi="Times New Roman" w:cs="Times New Roman"/>
          <w:szCs w:val="32"/>
          <w:lang w:val="en-US" w:eastAsia="zh-CN"/>
        </w:rPr>
      </w:pPr>
      <w:r>
        <w:rPr>
          <w:rFonts w:hint="eastAsia" w:ascii="Times New Roman" w:hAnsi="Times New Roman" w:cs="Times New Roman"/>
          <w:szCs w:val="32"/>
          <w:lang w:eastAsia="zh-CN"/>
        </w:rPr>
        <w:t>主动公开政府信息</w:t>
      </w:r>
      <w:r>
        <w:rPr>
          <w:rFonts w:hint="eastAsia" w:cs="Times New Roman"/>
          <w:szCs w:val="32"/>
          <w:lang w:val="en-US" w:eastAsia="zh-CN"/>
        </w:rPr>
        <w:t>2110</w:t>
      </w:r>
      <w:r>
        <w:rPr>
          <w:rFonts w:hint="eastAsia" w:ascii="Times New Roman" w:hAnsi="Times New Roman" w:cs="Times New Roman"/>
          <w:szCs w:val="32"/>
          <w:lang w:eastAsia="zh-CN"/>
        </w:rPr>
        <w:t>条（不同渠道和方式公开相同信息计1条），</w:t>
      </w:r>
      <w:r>
        <w:rPr>
          <w:rFonts w:hint="eastAsia" w:cs="Times New Roman"/>
          <w:szCs w:val="32"/>
          <w:lang w:eastAsia="zh-CN"/>
        </w:rPr>
        <w:t>全部通过政府网站公开</w:t>
      </w:r>
      <w:r>
        <w:rPr>
          <w:rFonts w:hint="eastAsia" w:ascii="Times New Roman" w:hAnsi="Times New Roman" w:cs="Times New Roman"/>
          <w:szCs w:val="32"/>
          <w:lang w:val="en-US" w:eastAsia="zh-CN"/>
        </w:rPr>
        <w:t>。</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（二）依申请公开情况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Times New Roman" w:hAnsi="Times New Roman" w:eastAsia="仿宋_GB2312"/>
          <w:szCs w:val="32"/>
          <w:lang w:val="en-US" w:eastAsia="zh-CN"/>
        </w:rPr>
      </w:pPr>
      <w:r>
        <w:rPr>
          <w:rFonts w:hint="eastAsia" w:ascii="Times New Roman" w:hAnsi="Times New Roman"/>
          <w:szCs w:val="32"/>
        </w:rPr>
        <w:t>受理依申请公开</w:t>
      </w:r>
      <w:r>
        <w:rPr>
          <w:rFonts w:hint="eastAsia"/>
          <w:szCs w:val="32"/>
          <w:lang w:val="en-US" w:eastAsia="zh-CN"/>
        </w:rPr>
        <w:t>2</w:t>
      </w:r>
      <w:r>
        <w:rPr>
          <w:rFonts w:hint="eastAsia" w:ascii="Times New Roman" w:hAnsi="Times New Roman"/>
          <w:szCs w:val="32"/>
        </w:rPr>
        <w:t>件，已办结</w:t>
      </w:r>
      <w:r>
        <w:rPr>
          <w:rFonts w:hint="eastAsia"/>
          <w:szCs w:val="32"/>
          <w:lang w:val="en-US" w:eastAsia="zh-CN"/>
        </w:rPr>
        <w:t>2</w:t>
      </w:r>
      <w:r>
        <w:rPr>
          <w:rFonts w:hint="eastAsia" w:ascii="Times New Roman" w:hAnsi="Times New Roman"/>
          <w:szCs w:val="32"/>
        </w:rPr>
        <w:t>件</w:t>
      </w:r>
      <w:r>
        <w:rPr>
          <w:rFonts w:hint="eastAsia" w:ascii="Times New Roman" w:hAnsi="Times New Roman"/>
          <w:szCs w:val="32"/>
          <w:lang w:eastAsia="zh-CN"/>
        </w:rPr>
        <w:t>。从办理结果看，</w:t>
      </w:r>
      <w:r>
        <w:rPr>
          <w:rFonts w:hint="eastAsia"/>
          <w:szCs w:val="32"/>
          <w:lang w:val="en-US" w:eastAsia="zh-CN"/>
        </w:rPr>
        <w:t>2件均属本机关不掌握相关信息无法提供</w:t>
      </w:r>
      <w:r>
        <w:rPr>
          <w:rFonts w:hint="eastAsia" w:ascii="Times New Roman" w:hAnsi="Times New Roman"/>
          <w:szCs w:val="32"/>
          <w:lang w:eastAsia="zh-CN"/>
        </w:rPr>
        <w:t>。</w:t>
      </w:r>
      <w:r>
        <w:rPr>
          <w:rFonts w:hint="eastAsia"/>
          <w:szCs w:val="32"/>
          <w:lang w:eastAsia="zh-CN"/>
        </w:rPr>
        <w:t>去年结转</w:t>
      </w:r>
      <w:r>
        <w:rPr>
          <w:rFonts w:hint="eastAsia"/>
          <w:szCs w:val="32"/>
          <w:lang w:val="en-US" w:eastAsia="zh-CN"/>
        </w:rPr>
        <w:t>1起因</w:t>
      </w:r>
      <w:r>
        <w:rPr>
          <w:rFonts w:hint="eastAsia" w:ascii="仿宋_GB2312" w:hAnsi="仿宋_GB2312" w:eastAsia="仿宋_GB2312" w:cs="仿宋_GB2312"/>
          <w:szCs w:val="32"/>
          <w:lang w:eastAsia="zh-CN"/>
        </w:rPr>
        <w:t>政府信息公开引起的诉讼</w:t>
      </w:r>
      <w:r>
        <w:rPr>
          <w:rFonts w:hint="eastAsia" w:ascii="仿宋_GB2312" w:hAnsi="仿宋_GB2312" w:cs="仿宋_GB2312"/>
          <w:szCs w:val="32"/>
          <w:lang w:eastAsia="zh-CN"/>
        </w:rPr>
        <w:t>事件，以宁波市中级人民法院裁定“驳回上诉”终审结案</w:t>
      </w:r>
      <w:r>
        <w:rPr>
          <w:rFonts w:hint="eastAsia" w:ascii="仿宋_GB2312" w:hAnsi="仿宋_GB2312" w:eastAsia="仿宋_GB2312" w:cs="仿宋_GB2312"/>
          <w:szCs w:val="32"/>
          <w:lang w:eastAsia="zh-CN"/>
        </w:rPr>
        <w:t>。</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（三）政府信息管理情况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仿宋_GB2312" w:hAnsi="仿宋_GB2312" w:cs="仿宋_GB2312"/>
          <w:szCs w:val="32"/>
          <w:lang w:val="en-US" w:eastAsia="zh-CN"/>
        </w:rPr>
      </w:pPr>
      <w:r>
        <w:rPr>
          <w:rFonts w:hint="eastAsia" w:ascii="仿宋_GB2312" w:hAnsi="仿宋_GB2312" w:eastAsia="仿宋_GB2312" w:cs="仿宋_GB2312"/>
          <w:szCs w:val="32"/>
          <w:lang w:eastAsia="zh-CN"/>
        </w:rPr>
        <w:t>聚焦</w:t>
      </w:r>
      <w:r>
        <w:rPr>
          <w:rFonts w:hint="eastAsia" w:ascii="仿宋_GB2312" w:hAnsi="仿宋_GB2312" w:cs="仿宋_GB2312"/>
          <w:szCs w:val="32"/>
          <w:lang w:eastAsia="zh-CN"/>
        </w:rPr>
        <w:t>人民银行账户许可公示、存贷款数据、行政处罚、工作指南、通知公告等事项定期进行公开，行政许可发生后按照</w:t>
      </w:r>
      <w:r>
        <w:rPr>
          <w:rFonts w:hint="eastAsia" w:ascii="仿宋_GB2312" w:hAnsi="仿宋_GB2312" w:cs="仿宋_GB2312"/>
          <w:szCs w:val="32"/>
          <w:lang w:val="en-US" w:eastAsia="zh-CN"/>
        </w:rPr>
        <w:t>3天内申请、7天内公示的要求进行公示，公示频率每周2次；本外币存款数据按照每月1次频率进行公开，行政处罚、工作指南、通知公告等发生后及时公开，并对机构概况、人事任免等进行定期维护。严格审核程序，由业务主办部门申请，经法务、保密、分管领导等审核，最后发布并复核。</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（四）政府信息公开平台建设情况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仿宋_GB2312" w:hAnsi="仿宋_GB2312" w:cs="仿宋_GB2312"/>
          <w:snapToGrid w:val="0"/>
          <w:color w:val="000000"/>
          <w:spacing w:val="-4"/>
          <w:szCs w:val="32"/>
          <w:shd w:val="clear" w:color="auto" w:fill="FFFFFF"/>
          <w:lang w:val="en-US" w:eastAsia="zh-CN"/>
        </w:rPr>
      </w:pPr>
      <w:r>
        <w:rPr>
          <w:rFonts w:hint="eastAsia" w:ascii="仿宋_GB2312" w:hAnsi="仿宋_GB2312" w:eastAsia="仿宋_GB2312"/>
          <w:sz w:val="32"/>
          <w:lang w:val="en-US" w:eastAsia="zh-CN"/>
        </w:rPr>
        <w:t>组织专人参加</w:t>
      </w:r>
      <w:r>
        <w:rPr>
          <w:rFonts w:hint="eastAsia" w:ascii="仿宋_GB2312" w:hAnsi="仿宋_GB2312"/>
          <w:sz w:val="32"/>
          <w:lang w:val="en-US" w:eastAsia="zh-CN"/>
        </w:rPr>
        <w:t>区</w:t>
      </w:r>
      <w:r>
        <w:rPr>
          <w:rFonts w:hint="eastAsia" w:ascii="仿宋_GB2312" w:hAnsi="仿宋_GB2312" w:eastAsia="仿宋_GB2312"/>
          <w:sz w:val="32"/>
          <w:lang w:val="en-US" w:eastAsia="zh-CN"/>
        </w:rPr>
        <w:t>政府组织的政府信息公开工作相关培训</w:t>
      </w:r>
      <w:r>
        <w:rPr>
          <w:rFonts w:hint="eastAsia" w:ascii="仿宋_GB2312" w:hAnsi="仿宋_GB2312"/>
          <w:sz w:val="32"/>
          <w:lang w:val="en-US" w:eastAsia="zh-CN"/>
        </w:rPr>
        <w:t>，熟悉政府信息公开平台运作、栏目设置、操作规则、注意事项等</w:t>
      </w:r>
      <w:r>
        <w:rPr>
          <w:rFonts w:hint="eastAsia" w:ascii="仿宋_GB2312" w:hAnsi="仿宋_GB2312" w:eastAsia="仿宋_GB2312"/>
          <w:sz w:val="32"/>
          <w:lang w:val="en-US" w:eastAsia="zh-CN"/>
        </w:rPr>
        <w:t>。</w:t>
      </w:r>
      <w:r>
        <w:rPr>
          <w:rFonts w:hint="eastAsia" w:ascii="仿宋_GB2312" w:hAnsi="仿宋_GB2312"/>
          <w:sz w:val="32"/>
          <w:lang w:val="en-US" w:eastAsia="zh-CN"/>
        </w:rPr>
        <w:t>关注平台信息发布效果，优化展示页面。了解银行、企业、个人等的信息需要，让账户、存贷款数据、纪念币发行等信息让人民更容易查询获取</w:t>
      </w:r>
      <w:r>
        <w:rPr>
          <w:rFonts w:hint="eastAsia" w:ascii="仿宋_GB2312" w:hAnsi="仿宋_GB2312" w:cs="仿宋_GB2312"/>
          <w:snapToGrid w:val="0"/>
          <w:color w:val="000000"/>
          <w:spacing w:val="-4"/>
          <w:szCs w:val="32"/>
          <w:shd w:val="clear" w:color="auto" w:fill="FFFFFF"/>
          <w:lang w:val="en-US" w:eastAsia="zh-CN"/>
        </w:rPr>
        <w:t>。</w:t>
      </w:r>
    </w:p>
    <w:p>
      <w:pPr>
        <w:widowControl/>
        <w:wordWrap/>
        <w:autoSpaceDE w:val="0"/>
        <w:adjustRightInd/>
        <w:snapToGrid/>
        <w:spacing w:line="560" w:lineRule="exact"/>
        <w:ind w:firstLine="632" w:firstLineChars="200"/>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（五）监督保障方面</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仿宋_GB2312" w:hAnsi="仿宋_GB2312" w:cs="仿宋_GB2312"/>
          <w:snapToGrid w:val="0"/>
          <w:color w:val="000000"/>
          <w:spacing w:val="-4"/>
          <w:szCs w:val="32"/>
          <w:shd w:val="clear" w:color="auto" w:fill="FFFFFF"/>
          <w:lang w:val="en-US" w:eastAsia="zh-CN"/>
        </w:rPr>
      </w:pPr>
      <w:r>
        <w:rPr>
          <w:rFonts w:hint="eastAsia" w:ascii="仿宋_GB2312" w:hAnsi="仿宋_GB2312" w:cs="仿宋_GB2312"/>
          <w:szCs w:val="32"/>
          <w:lang w:val="en-US" w:eastAsia="zh-CN"/>
        </w:rPr>
        <w:t>设立政务公开办公室，建立</w:t>
      </w:r>
      <w:r>
        <w:rPr>
          <w:rFonts w:hint="eastAsia" w:ascii="仿宋_GB2312" w:hAnsi="仿宋_GB2312" w:eastAsia="仿宋_GB2312"/>
          <w:sz w:val="32"/>
          <w:lang w:val="en-US" w:eastAsia="zh-CN"/>
        </w:rPr>
        <w:t>行长室总负责、各科室具体负责的工作机制，</w:t>
      </w:r>
      <w:r>
        <w:rPr>
          <w:rFonts w:hint="eastAsia" w:ascii="仿宋_GB2312" w:hAnsi="仿宋_GB2312"/>
          <w:sz w:val="32"/>
          <w:lang w:val="en-US" w:eastAsia="zh-CN"/>
        </w:rPr>
        <w:t>并指定</w:t>
      </w:r>
      <w:r>
        <w:rPr>
          <w:rFonts w:hint="eastAsia" w:ascii="仿宋_GB2312" w:hAnsi="仿宋_GB2312" w:cs="仿宋_GB2312"/>
          <w:szCs w:val="32"/>
          <w:lang w:val="en-US" w:eastAsia="zh-CN"/>
        </w:rPr>
        <w:t>专人负责</w:t>
      </w:r>
      <w:r>
        <w:rPr>
          <w:rFonts w:hint="default" w:ascii="仿宋_GB2312" w:hAnsi="仿宋_GB2312" w:eastAsia="仿宋_GB2312"/>
          <w:sz w:val="32"/>
          <w:lang w:val="en-US" w:eastAsia="zh-CN"/>
        </w:rPr>
        <w:t>政府信息公开</w:t>
      </w:r>
      <w:r>
        <w:rPr>
          <w:rFonts w:hint="eastAsia" w:ascii="仿宋_GB2312" w:hAnsi="仿宋_GB2312"/>
          <w:sz w:val="32"/>
          <w:lang w:val="en-US" w:eastAsia="zh-CN"/>
        </w:rPr>
        <w:t>平台</w:t>
      </w:r>
      <w:r>
        <w:rPr>
          <w:rFonts w:hint="default" w:ascii="仿宋_GB2312" w:hAnsi="仿宋_GB2312" w:eastAsia="仿宋_GB2312"/>
          <w:sz w:val="32"/>
          <w:lang w:val="en-US" w:eastAsia="zh-CN"/>
        </w:rPr>
        <w:t>的内容更新及维护等相关事宜</w:t>
      </w:r>
      <w:r>
        <w:rPr>
          <w:rFonts w:hint="eastAsia" w:ascii="仿宋_GB2312" w:hAnsi="仿宋_GB2312"/>
          <w:sz w:val="32"/>
          <w:lang w:val="en-US" w:eastAsia="zh-CN"/>
        </w:rPr>
        <w:t>。发布的所有信息接受广大群众监督，并虚心接受相关意见建议，推动信息公开工作规范提升</w:t>
      </w:r>
      <w:r>
        <w:rPr>
          <w:rFonts w:hint="eastAsia" w:ascii="仿宋_GB2312" w:hAnsi="仿宋_GB2312" w:cs="仿宋_GB2312"/>
          <w:snapToGrid w:val="0"/>
          <w:color w:val="000000"/>
          <w:spacing w:val="-4"/>
          <w:szCs w:val="32"/>
          <w:shd w:val="clear" w:color="auto" w:fill="FFFFFF"/>
          <w:lang w:val="en-US" w:eastAsia="zh-CN"/>
        </w:rPr>
        <w:t>。</w:t>
      </w:r>
    </w:p>
    <w:p>
      <w:pPr>
        <w:pStyle w:val="6"/>
        <w:widowControl/>
        <w:spacing w:before="0" w:beforeAutospacing="0" w:after="0" w:afterAutospacing="0" w:line="560" w:lineRule="exact"/>
        <w:ind w:firstLine="632" w:firstLineChars="200"/>
        <w:jc w:val="both"/>
        <w:rPr>
          <w:rFonts w:hint="eastAsia" w:ascii="黑体" w:hAnsi="黑体" w:eastAsia="黑体" w:cs="Times New Roman"/>
          <w:szCs w:val="32"/>
        </w:rPr>
      </w:pPr>
      <w:r>
        <w:rPr>
          <w:rFonts w:hint="eastAsia" w:ascii="黑体" w:hAnsi="黑体" w:eastAsia="黑体" w:cs="Times New Roman"/>
          <w:szCs w:val="32"/>
        </w:rPr>
        <w:t>二、主动公开政府信息情况</w:t>
      </w:r>
    </w:p>
    <w:tbl>
      <w:tblPr>
        <w:tblStyle w:val="9"/>
        <w:tblpPr w:leftFromText="180" w:rightFromText="180" w:vertAnchor="text" w:horzAnchor="page" w:tblpXSpec="center" w:tblpY="85"/>
        <w:tblOverlap w:val="never"/>
        <w:tblW w:w="92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53"/>
        <w:gridCol w:w="2435"/>
        <w:gridCol w:w="2435"/>
        <w:gridCol w:w="23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本年制发件数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本年废止件数</w:t>
            </w:r>
          </w:p>
        </w:tc>
        <w:tc>
          <w:tcPr>
            <w:tcW w:w="2398" w:type="dxa"/>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c>
          <w:tcPr>
            <w:tcW w:w="2398"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1</w:t>
            </w:r>
          </w:p>
        </w:tc>
        <w:tc>
          <w:tcPr>
            <w:tcW w:w="2398"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rFonts w:hint="default" w:eastAsia="仿宋_GB2312"/>
                <w:kern w:val="0"/>
                <w:sz w:val="21"/>
                <w:szCs w:val="21"/>
                <w:lang w:val="en-US" w:eastAsia="zh-CN"/>
              </w:rPr>
            </w:pPr>
            <w:r>
              <w:rPr>
                <w:rFonts w:hint="eastAsia"/>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行政许可</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rFonts w:hint="default"/>
                <w:kern w:val="0"/>
                <w:sz w:val="21"/>
                <w:szCs w:val="21"/>
                <w:lang w:val="en-US"/>
              </w:rPr>
            </w:pPr>
            <w:r>
              <w:rPr>
                <w:rFonts w:hint="eastAsia"/>
                <w:kern w:val="0"/>
                <w:sz w:val="21"/>
                <w:szCs w:val="21"/>
                <w:lang w:val="en-US" w:eastAsia="zh-CN"/>
              </w:rPr>
              <w:t>2110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7268" w:type="dxa"/>
            <w:gridSpan w:val="3"/>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行政处罚</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行政强制</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7268" w:type="dxa"/>
            <w:gridSpan w:val="3"/>
            <w:tcBorders>
              <w:top w:val="nil"/>
              <w:left w:val="nil"/>
              <w:bottom w:val="single" w:color="auto" w:sz="8" w:space="0"/>
              <w:right w:val="single" w:color="000000"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行政事业性收费</w:t>
            </w:r>
          </w:p>
        </w:tc>
        <w:tc>
          <w:tcPr>
            <w:tcW w:w="7268" w:type="dxa"/>
            <w:gridSpan w:val="3"/>
            <w:tcBorders>
              <w:top w:val="nil"/>
              <w:left w:val="nil"/>
              <w:bottom w:val="single" w:color="auto" w:sz="8" w:space="0"/>
              <w:right w:val="single" w:color="000000" w:sz="8" w:space="0"/>
            </w:tcBorders>
            <w:tcMar>
              <w:left w:w="57" w:type="dxa"/>
              <w:right w:w="57" w:type="dxa"/>
            </w:tcMar>
            <w:vAlign w:val="center"/>
          </w:tcPr>
          <w:p>
            <w:pPr>
              <w:spacing w:line="300" w:lineRule="exact"/>
              <w:jc w:val="center"/>
              <w:rPr>
                <w:rFonts w:hint="eastAsia" w:eastAsia="仿宋_GB2312"/>
                <w:kern w:val="0"/>
                <w:sz w:val="21"/>
                <w:szCs w:val="21"/>
                <w:lang w:val="en-US" w:eastAsia="zh-CN"/>
              </w:rPr>
            </w:pPr>
            <w:r>
              <w:rPr>
                <w:rFonts w:hint="eastAsia"/>
                <w:kern w:val="0"/>
                <w:sz w:val="21"/>
                <w:szCs w:val="21"/>
                <w:lang w:val="en-US" w:eastAsia="zh-CN"/>
              </w:rPr>
              <w:t>0</w:t>
            </w:r>
          </w:p>
        </w:tc>
      </w:tr>
    </w:tbl>
    <w:p>
      <w:pPr>
        <w:pStyle w:val="6"/>
        <w:widowControl/>
        <w:spacing w:before="0" w:beforeAutospacing="0" w:after="0" w:afterAutospacing="0" w:line="560" w:lineRule="exact"/>
        <w:ind w:firstLine="632" w:firstLineChars="200"/>
        <w:jc w:val="both"/>
        <w:rPr>
          <w:rFonts w:hint="eastAsia" w:ascii="黑体" w:hAnsi="黑体" w:eastAsia="黑体" w:cs="Times New Roman"/>
          <w:szCs w:val="32"/>
        </w:rPr>
      </w:pPr>
      <w:r>
        <w:rPr>
          <w:rFonts w:hint="eastAsia" w:ascii="黑体" w:hAnsi="黑体" w:eastAsia="黑体" w:cs="Times New Roman"/>
          <w:szCs w:val="32"/>
        </w:rPr>
        <w:t>三、收到和处理政府信息公开申请情况</w:t>
      </w:r>
    </w:p>
    <w:tbl>
      <w:tblPr>
        <w:tblStyle w:val="9"/>
        <w:tblW w:w="9287"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85"/>
        <w:gridCol w:w="959"/>
        <w:gridCol w:w="2630"/>
        <w:gridCol w:w="642"/>
        <w:gridCol w:w="714"/>
        <w:gridCol w:w="714"/>
        <w:gridCol w:w="714"/>
        <w:gridCol w:w="714"/>
        <w:gridCol w:w="714"/>
        <w:gridCol w:w="7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vMerge w:val="restart"/>
            <w:tcMar>
              <w:left w:w="108" w:type="dxa"/>
              <w:right w:w="108" w:type="dxa"/>
            </w:tcMar>
            <w:vAlign w:val="center"/>
          </w:tcPr>
          <w:p>
            <w:pPr>
              <w:spacing w:line="240" w:lineRule="exact"/>
              <w:jc w:val="center"/>
              <w:rPr>
                <w:kern w:val="0"/>
                <w:sz w:val="21"/>
                <w:szCs w:val="21"/>
              </w:rPr>
            </w:pPr>
            <w:r>
              <w:rPr>
                <w:kern w:val="0"/>
                <w:sz w:val="21"/>
                <w:szCs w:val="21"/>
              </w:rPr>
              <w:t>（本列数据的勾稽关系为：第一项加第二项之和，等于第三项加第四项之和）</w:t>
            </w:r>
          </w:p>
        </w:tc>
        <w:tc>
          <w:tcPr>
            <w:tcW w:w="4913" w:type="dxa"/>
            <w:gridSpan w:val="7"/>
            <w:tcMar>
              <w:left w:w="57" w:type="dxa"/>
              <w:right w:w="57" w:type="dxa"/>
            </w:tcMar>
            <w:vAlign w:val="center"/>
          </w:tcPr>
          <w:p>
            <w:pPr>
              <w:spacing w:line="240" w:lineRule="exact"/>
              <w:jc w:val="center"/>
              <w:rPr>
                <w:kern w:val="0"/>
                <w:sz w:val="21"/>
                <w:szCs w:val="21"/>
              </w:rPr>
            </w:pPr>
            <w:r>
              <w:rPr>
                <w:rFonts w:hint="eastAsia"/>
                <w:kern w:val="0"/>
                <w:sz w:val="21"/>
                <w:szCs w:val="21"/>
              </w:rPr>
              <w:t>申请人情况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vMerge w:val="continue"/>
            <w:tcMar>
              <w:left w:w="108" w:type="dxa"/>
              <w:right w:w="108" w:type="dxa"/>
            </w:tcMar>
            <w:vAlign w:val="center"/>
          </w:tcPr>
          <w:p>
            <w:pPr>
              <w:spacing w:line="240" w:lineRule="exact"/>
              <w:jc w:val="center"/>
              <w:rPr>
                <w:rFonts w:hint="eastAsia"/>
                <w:kern w:val="0"/>
                <w:sz w:val="21"/>
                <w:szCs w:val="21"/>
              </w:rPr>
            </w:pPr>
          </w:p>
        </w:tc>
        <w:tc>
          <w:tcPr>
            <w:tcW w:w="642"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自然人</w:t>
            </w:r>
          </w:p>
        </w:tc>
        <w:tc>
          <w:tcPr>
            <w:tcW w:w="3570" w:type="dxa"/>
            <w:gridSpan w:val="5"/>
            <w:tcMar>
              <w:left w:w="57" w:type="dxa"/>
              <w:right w:w="57" w:type="dxa"/>
            </w:tcMar>
            <w:vAlign w:val="center"/>
          </w:tcPr>
          <w:p>
            <w:pPr>
              <w:spacing w:line="240" w:lineRule="exact"/>
              <w:jc w:val="center"/>
              <w:rPr>
                <w:kern w:val="0"/>
                <w:sz w:val="21"/>
                <w:szCs w:val="21"/>
              </w:rPr>
            </w:pPr>
            <w:r>
              <w:rPr>
                <w:rFonts w:hint="eastAsia"/>
                <w:kern w:val="0"/>
                <w:sz w:val="21"/>
                <w:szCs w:val="21"/>
              </w:rPr>
              <w:t>法人或其他组织</w:t>
            </w:r>
          </w:p>
        </w:tc>
        <w:tc>
          <w:tcPr>
            <w:tcW w:w="701"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vMerge w:val="continue"/>
            <w:tcMar>
              <w:left w:w="108" w:type="dxa"/>
              <w:right w:w="108" w:type="dxa"/>
            </w:tcMar>
            <w:vAlign w:val="center"/>
          </w:tcPr>
          <w:p>
            <w:pPr>
              <w:spacing w:line="240" w:lineRule="exact"/>
              <w:jc w:val="center"/>
              <w:rPr>
                <w:rFonts w:hint="eastAsia"/>
                <w:kern w:val="0"/>
                <w:sz w:val="21"/>
                <w:szCs w:val="21"/>
              </w:rPr>
            </w:pPr>
          </w:p>
        </w:tc>
        <w:tc>
          <w:tcPr>
            <w:tcW w:w="642" w:type="dxa"/>
            <w:vMerge w:val="continue"/>
            <w:tcMar>
              <w:left w:w="57" w:type="dxa"/>
              <w:right w:w="57" w:type="dxa"/>
            </w:tcMar>
            <w:vAlign w:val="center"/>
          </w:tcPr>
          <w:p>
            <w:pPr>
              <w:spacing w:line="240" w:lineRule="exact"/>
              <w:jc w:val="center"/>
              <w:rPr>
                <w:rFonts w:hint="eastAsia"/>
                <w:kern w:val="0"/>
                <w:sz w:val="21"/>
                <w:szCs w:val="21"/>
              </w:rPr>
            </w:pP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商业</w:t>
            </w:r>
          </w:p>
          <w:p>
            <w:pPr>
              <w:spacing w:line="240" w:lineRule="exact"/>
              <w:jc w:val="center"/>
              <w:rPr>
                <w:kern w:val="0"/>
                <w:sz w:val="21"/>
                <w:szCs w:val="21"/>
              </w:rPr>
            </w:pPr>
            <w:r>
              <w:rPr>
                <w:rFonts w:hint="eastAsia"/>
                <w:kern w:val="0"/>
                <w:sz w:val="21"/>
                <w:szCs w:val="21"/>
              </w:rPr>
              <w:t>企业</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科研</w:t>
            </w:r>
          </w:p>
          <w:p>
            <w:pPr>
              <w:spacing w:line="240" w:lineRule="exact"/>
              <w:jc w:val="center"/>
              <w:rPr>
                <w:kern w:val="0"/>
                <w:sz w:val="21"/>
                <w:szCs w:val="21"/>
              </w:rPr>
            </w:pPr>
            <w:r>
              <w:rPr>
                <w:rFonts w:hint="eastAsia"/>
                <w:kern w:val="0"/>
                <w:sz w:val="21"/>
                <w:szCs w:val="21"/>
              </w:rPr>
              <w:t>机构</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社会公益组织</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法律服务机构</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其他</w:t>
            </w:r>
          </w:p>
        </w:tc>
        <w:tc>
          <w:tcPr>
            <w:tcW w:w="701" w:type="dxa"/>
            <w:vMerge w:val="continue"/>
            <w:tcMar>
              <w:left w:w="57" w:type="dxa"/>
              <w:right w:w="57" w:type="dxa"/>
            </w:tcMar>
            <w:vAlign w:val="center"/>
          </w:tcPr>
          <w:p>
            <w:pPr>
              <w:spacing w:line="240" w:lineRule="exact"/>
              <w:jc w:val="center"/>
              <w:rPr>
                <w:rFonts w:hint="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67" w:hRule="exact"/>
        </w:trPr>
        <w:tc>
          <w:tcPr>
            <w:tcW w:w="4374" w:type="dxa"/>
            <w:gridSpan w:val="3"/>
            <w:tcMar>
              <w:left w:w="57" w:type="dxa"/>
              <w:right w:w="57" w:type="dxa"/>
            </w:tcMar>
            <w:vAlign w:val="center"/>
          </w:tcPr>
          <w:p>
            <w:pPr>
              <w:spacing w:line="240" w:lineRule="exact"/>
              <w:jc w:val="center"/>
              <w:rPr>
                <w:kern w:val="0"/>
                <w:sz w:val="21"/>
                <w:szCs w:val="21"/>
              </w:rPr>
            </w:pPr>
            <w:r>
              <w:rPr>
                <w:rFonts w:hint="eastAsia"/>
                <w:kern w:val="0"/>
                <w:sz w:val="21"/>
                <w:szCs w:val="21"/>
              </w:rPr>
              <w:t>一、本年新收政府信息公开申请数量</w:t>
            </w:r>
          </w:p>
        </w:tc>
        <w:tc>
          <w:tcPr>
            <w:tcW w:w="642" w:type="dxa"/>
            <w:tcMar>
              <w:left w:w="57" w:type="dxa"/>
              <w:right w:w="57" w:type="dxa"/>
            </w:tcMar>
            <w:vAlign w:val="center"/>
          </w:tcPr>
          <w:p>
            <w:pPr>
              <w:spacing w:line="240" w:lineRule="exact"/>
              <w:jc w:val="center"/>
              <w:rPr>
                <w:rFonts w:hint="default"/>
                <w:kern w:val="0"/>
                <w:sz w:val="21"/>
                <w:szCs w:val="21"/>
                <w:lang w:val="en-US"/>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val="en-US" w:eastAsia="zh-CN"/>
              </w:rPr>
            </w:pPr>
            <w:r>
              <w:rPr>
                <w:rFonts w:hint="eastAsia"/>
                <w:kern w:val="0"/>
                <w:sz w:val="21"/>
                <w:szCs w:val="21"/>
                <w:lang w:val="en-US" w:eastAsia="zh-CN"/>
              </w:rPr>
              <w:t>2</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rFonts w:hint="default" w:eastAsia="仿宋_GB2312"/>
                <w:kern w:val="0"/>
                <w:sz w:val="21"/>
                <w:szCs w:val="21"/>
                <w:lang w:val="en-US" w:eastAsia="zh-CN"/>
              </w:rPr>
            </w:pPr>
            <w:r>
              <w:rPr>
                <w:rFonts w:hint="eastAsia"/>
                <w:kern w:val="0"/>
                <w:sz w:val="21"/>
                <w:szCs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67" w:hRule="exact"/>
        </w:trPr>
        <w:tc>
          <w:tcPr>
            <w:tcW w:w="4374" w:type="dxa"/>
            <w:gridSpan w:val="3"/>
            <w:tcMar>
              <w:left w:w="57" w:type="dxa"/>
              <w:right w:w="57" w:type="dxa"/>
            </w:tcMar>
            <w:vAlign w:val="center"/>
          </w:tcPr>
          <w:p>
            <w:pPr>
              <w:spacing w:line="240" w:lineRule="exact"/>
              <w:jc w:val="center"/>
              <w:rPr>
                <w:kern w:val="0"/>
                <w:sz w:val="21"/>
                <w:szCs w:val="21"/>
              </w:rPr>
            </w:pPr>
            <w:r>
              <w:rPr>
                <w:rFonts w:hint="eastAsia"/>
                <w:kern w:val="0"/>
                <w:sz w:val="21"/>
                <w:szCs w:val="21"/>
              </w:rPr>
              <w:t>二、上年结转政府信息公开申请数量</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三、本年度办理结果</w:t>
            </w:r>
          </w:p>
        </w:tc>
        <w:tc>
          <w:tcPr>
            <w:tcW w:w="3589" w:type="dxa"/>
            <w:gridSpan w:val="2"/>
            <w:tcMar>
              <w:left w:w="57" w:type="dxa"/>
              <w:right w:w="57" w:type="dxa"/>
            </w:tcMar>
            <w:vAlign w:val="center"/>
          </w:tcPr>
          <w:p>
            <w:pPr>
              <w:spacing w:line="240" w:lineRule="exact"/>
              <w:jc w:val="center"/>
              <w:rPr>
                <w:kern w:val="0"/>
                <w:sz w:val="21"/>
                <w:szCs w:val="21"/>
              </w:rPr>
            </w:pPr>
            <w:r>
              <w:rPr>
                <w:rFonts w:hint="eastAsia"/>
                <w:kern w:val="0"/>
                <w:sz w:val="21"/>
                <w:szCs w:val="21"/>
              </w:rPr>
              <w:t>（一）予以公开</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3589" w:type="dxa"/>
            <w:gridSpan w:val="2"/>
            <w:tcMar>
              <w:left w:w="57" w:type="dxa"/>
              <w:right w:w="57" w:type="dxa"/>
            </w:tcMar>
            <w:vAlign w:val="center"/>
          </w:tcPr>
          <w:p>
            <w:pPr>
              <w:spacing w:line="240" w:lineRule="exact"/>
              <w:jc w:val="center"/>
              <w:rPr>
                <w:kern w:val="0"/>
                <w:sz w:val="21"/>
                <w:szCs w:val="21"/>
              </w:rPr>
            </w:pPr>
            <w:r>
              <w:rPr>
                <w:rFonts w:hint="eastAsia"/>
                <w:kern w:val="0"/>
                <w:sz w:val="21"/>
                <w:szCs w:val="21"/>
              </w:rPr>
              <w:t>（二）部分公开（区分处理的，只计这一情形，不计其他情形）</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rFonts w:hint="eastAsia"/>
                <w:kern w:val="0"/>
                <w:sz w:val="21"/>
                <w:szCs w:val="21"/>
              </w:rPr>
            </w:pPr>
            <w:r>
              <w:rPr>
                <w:rFonts w:hint="eastAsia"/>
                <w:kern w:val="0"/>
                <w:sz w:val="21"/>
                <w:szCs w:val="21"/>
              </w:rPr>
              <w:t>（三）</w:t>
            </w:r>
          </w:p>
          <w:p>
            <w:pPr>
              <w:spacing w:line="240" w:lineRule="exact"/>
              <w:jc w:val="center"/>
              <w:rPr>
                <w:rFonts w:hint="eastAsia"/>
                <w:kern w:val="0"/>
                <w:sz w:val="21"/>
                <w:szCs w:val="21"/>
              </w:rPr>
            </w:pPr>
            <w:r>
              <w:rPr>
                <w:rFonts w:hint="eastAsia"/>
                <w:kern w:val="0"/>
                <w:sz w:val="21"/>
                <w:szCs w:val="21"/>
              </w:rPr>
              <w:t>不予</w:t>
            </w:r>
          </w:p>
          <w:p>
            <w:pPr>
              <w:spacing w:line="240" w:lineRule="exact"/>
              <w:jc w:val="center"/>
              <w:rPr>
                <w:kern w:val="0"/>
                <w:sz w:val="21"/>
                <w:szCs w:val="21"/>
              </w:rPr>
            </w:pPr>
            <w:r>
              <w:rPr>
                <w:rFonts w:hint="eastAsia"/>
                <w:kern w:val="0"/>
                <w:sz w:val="21"/>
                <w:szCs w:val="21"/>
              </w:rPr>
              <w:t>公开</w:t>
            </w: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1.属于国家秘密</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2.其他法律行政法规禁止公开</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jc w:val="center"/>
              <w:rPr>
                <w:kern w:val="0"/>
                <w:sz w:val="21"/>
                <w:szCs w:val="21"/>
              </w:rPr>
            </w:pPr>
            <w:r>
              <w:rPr>
                <w:rFonts w:hint="eastAsia"/>
                <w:kern w:val="0"/>
                <w:sz w:val="21"/>
                <w:szCs w:val="21"/>
              </w:rPr>
              <w:t>3.危及“三安全一稳定”</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4.保护第三方合法权益</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5.属于三类内部事务信息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6.属于四类过程性信息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7.属于行政执法案卷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8.属于行政查询事项</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（四）无法提供</w:t>
            </w: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1.本机关不掌握相关政府信息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2</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2.没有现成信息需要另行制作</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3.补正后申请内容仍不明确</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（五）不予处理</w:t>
            </w: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1.信访举报投诉类申请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2.重复申请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3.要求提供公开出版物</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4.无正当理由大量反复申请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79" w:hRule="atLeast"/>
        </w:trPr>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5.要求行政机关确认或重新出具已获取信息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（六）其他处理</w:t>
            </w: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1.申请人无正当理由逾期不补正、行政机关不再处理其政府信息公开申请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2.申请人逾期未按收费通知要求缴纳费用、行政机关不再处理其政府信息公开申请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3.其他</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3589" w:type="dxa"/>
            <w:gridSpan w:val="2"/>
            <w:tcMar>
              <w:left w:w="57" w:type="dxa"/>
              <w:right w:w="57" w:type="dxa"/>
            </w:tcMar>
            <w:vAlign w:val="center"/>
          </w:tcPr>
          <w:p>
            <w:pPr>
              <w:spacing w:line="240" w:lineRule="exact"/>
              <w:jc w:val="center"/>
              <w:rPr>
                <w:kern w:val="0"/>
                <w:sz w:val="21"/>
                <w:szCs w:val="21"/>
              </w:rPr>
            </w:pPr>
            <w:r>
              <w:rPr>
                <w:rFonts w:hint="eastAsia"/>
                <w:kern w:val="0"/>
                <w:sz w:val="21"/>
                <w:szCs w:val="21"/>
              </w:rPr>
              <w:t>（七）总计</w:t>
            </w:r>
          </w:p>
        </w:tc>
        <w:tc>
          <w:tcPr>
            <w:tcW w:w="642" w:type="dxa"/>
            <w:tcMar>
              <w:left w:w="57" w:type="dxa"/>
              <w:right w:w="57" w:type="dxa"/>
            </w:tcMar>
            <w:vAlign w:val="center"/>
          </w:tcPr>
          <w:p>
            <w:pPr>
              <w:spacing w:line="240" w:lineRule="exact"/>
              <w:jc w:val="center"/>
              <w:rPr>
                <w:rFonts w:hint="default"/>
                <w:kern w:val="0"/>
                <w:sz w:val="21"/>
                <w:szCs w:val="21"/>
                <w:lang w:val="en-US"/>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2</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rFonts w:hint="default"/>
                <w:kern w:val="0"/>
                <w:sz w:val="21"/>
                <w:szCs w:val="21"/>
                <w:lang w:val="en-US"/>
              </w:rPr>
            </w:pPr>
            <w:r>
              <w:rPr>
                <w:rFonts w:hint="eastAsia"/>
                <w:kern w:val="0"/>
                <w:sz w:val="21"/>
                <w:szCs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tcMar>
              <w:left w:w="57" w:type="dxa"/>
              <w:right w:w="57" w:type="dxa"/>
            </w:tcMar>
            <w:vAlign w:val="center"/>
          </w:tcPr>
          <w:p>
            <w:pPr>
              <w:spacing w:line="240" w:lineRule="exact"/>
              <w:jc w:val="center"/>
              <w:rPr>
                <w:kern w:val="0"/>
                <w:sz w:val="21"/>
                <w:szCs w:val="21"/>
              </w:rPr>
            </w:pPr>
            <w:r>
              <w:rPr>
                <w:rFonts w:hint="eastAsia"/>
                <w:kern w:val="0"/>
                <w:sz w:val="21"/>
                <w:szCs w:val="21"/>
              </w:rPr>
              <w:t>四、结转下年度继续办理</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rFonts w:hint="eastAsia"/>
                <w:kern w:val="0"/>
                <w:sz w:val="21"/>
                <w:szCs w:val="21"/>
              </w:rPr>
            </w:pPr>
            <w:r>
              <w:rPr>
                <w:rFonts w:hint="eastAsia"/>
                <w:kern w:val="0"/>
                <w:sz w:val="21"/>
                <w:szCs w:val="21"/>
                <w:lang w:val="en-US" w:eastAsia="zh-CN"/>
              </w:rPr>
              <w:t>0</w:t>
            </w:r>
          </w:p>
        </w:tc>
      </w:tr>
    </w:tbl>
    <w:p>
      <w:pPr>
        <w:pStyle w:val="6"/>
        <w:widowControl/>
        <w:spacing w:before="0" w:beforeAutospacing="0" w:after="0" w:afterAutospacing="0" w:line="560" w:lineRule="exact"/>
        <w:ind w:firstLine="632" w:firstLineChars="200"/>
        <w:jc w:val="both"/>
        <w:rPr>
          <w:rFonts w:hint="eastAsia" w:ascii="黑体" w:hAnsi="黑体" w:eastAsia="黑体" w:cs="Times New Roman"/>
          <w:szCs w:val="32"/>
        </w:rPr>
      </w:pPr>
      <w:r>
        <w:rPr>
          <w:rFonts w:hint="eastAsia" w:ascii="黑体" w:hAnsi="黑体" w:eastAsia="黑体" w:cs="Times New Roman"/>
          <w:szCs w:val="32"/>
        </w:rPr>
        <w:t>四、政府信息公开行政复议、行政诉讼情况</w:t>
      </w:r>
    </w:p>
    <w:tbl>
      <w:tblPr>
        <w:tblStyle w:val="9"/>
        <w:tblW w:w="936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35"/>
        <w:gridCol w:w="540"/>
        <w:gridCol w:w="649"/>
        <w:gridCol w:w="649"/>
        <w:gridCol w:w="650"/>
        <w:gridCol w:w="650"/>
        <w:gridCol w:w="576"/>
        <w:gridCol w:w="650"/>
        <w:gridCol w:w="650"/>
        <w:gridCol w:w="650"/>
        <w:gridCol w:w="650"/>
        <w:gridCol w:w="47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312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行政复议</w:t>
            </w:r>
          </w:p>
        </w:tc>
        <w:tc>
          <w:tcPr>
            <w:tcW w:w="6246"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结果维持</w:t>
            </w:r>
          </w:p>
        </w:tc>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纠正</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其他</w:t>
            </w:r>
            <w:r>
              <w:rPr>
                <w:rFonts w:hint="eastAsia"/>
                <w:kern w:val="0"/>
                <w:sz w:val="21"/>
                <w:szCs w:val="21"/>
              </w:rPr>
              <w:br/>
            </w:r>
            <w:r>
              <w:rPr>
                <w:rFonts w:hint="eastAsia"/>
                <w:kern w:val="0"/>
                <w:sz w:val="21"/>
                <w:szCs w:val="21"/>
              </w:rPr>
              <w:t>结果</w:t>
            </w:r>
          </w:p>
        </w:tc>
        <w:tc>
          <w:tcPr>
            <w:tcW w:w="635"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尚未</w:t>
            </w:r>
            <w:r>
              <w:rPr>
                <w:rFonts w:hint="eastAsia"/>
                <w:kern w:val="0"/>
                <w:sz w:val="21"/>
                <w:szCs w:val="21"/>
              </w:rPr>
              <w:br/>
            </w:r>
            <w:r>
              <w:rPr>
                <w:rFonts w:hint="eastAsia"/>
                <w:kern w:val="0"/>
                <w:sz w:val="21"/>
                <w:szCs w:val="21"/>
              </w:rPr>
              <w:t>审结</w:t>
            </w:r>
          </w:p>
        </w:tc>
        <w:tc>
          <w:tcPr>
            <w:tcW w:w="540"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总计</w:t>
            </w:r>
          </w:p>
        </w:tc>
        <w:tc>
          <w:tcPr>
            <w:tcW w:w="31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未经复议直接起诉</w:t>
            </w:r>
          </w:p>
        </w:tc>
        <w:tc>
          <w:tcPr>
            <w:tcW w:w="307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3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54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其他</w:t>
            </w:r>
            <w:r>
              <w:rPr>
                <w:rFonts w:hint="eastAsia"/>
                <w:kern w:val="0"/>
                <w:sz w:val="21"/>
                <w:szCs w:val="21"/>
              </w:rPr>
              <w:br/>
            </w:r>
            <w:r>
              <w:rPr>
                <w:rFonts w:hint="eastAsia"/>
                <w:kern w:val="0"/>
                <w:sz w:val="21"/>
                <w:szCs w:val="21"/>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尚未</w:t>
            </w:r>
            <w:r>
              <w:rPr>
                <w:rFonts w:hint="eastAsia"/>
                <w:kern w:val="0"/>
                <w:sz w:val="21"/>
                <w:szCs w:val="21"/>
              </w:rPr>
              <w:br/>
            </w:r>
            <w:r>
              <w:rPr>
                <w:rFonts w:hint="eastAsia"/>
                <w:kern w:val="0"/>
                <w:sz w:val="21"/>
                <w:szCs w:val="21"/>
              </w:rPr>
              <w:t>审结</w:t>
            </w:r>
          </w:p>
        </w:tc>
        <w:tc>
          <w:tcPr>
            <w:tcW w:w="57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总计</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维持</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其他</w:t>
            </w:r>
            <w:r>
              <w:rPr>
                <w:rFonts w:hint="eastAsia"/>
                <w:kern w:val="0"/>
                <w:sz w:val="21"/>
                <w:szCs w:val="21"/>
              </w:rPr>
              <w:br/>
            </w:r>
            <w:r>
              <w:rPr>
                <w:rFonts w:hint="eastAsia"/>
                <w:kern w:val="0"/>
                <w:sz w:val="21"/>
                <w:szCs w:val="21"/>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尚未</w:t>
            </w:r>
            <w:r>
              <w:rPr>
                <w:rFonts w:hint="eastAsia"/>
                <w:kern w:val="0"/>
                <w:sz w:val="21"/>
                <w:szCs w:val="21"/>
              </w:rPr>
              <w:br/>
            </w:r>
            <w:r>
              <w:rPr>
                <w:rFonts w:hint="eastAsia"/>
                <w:kern w:val="0"/>
                <w:sz w:val="21"/>
                <w:szCs w:val="21"/>
              </w:rPr>
              <w:t>审结</w:t>
            </w:r>
          </w:p>
        </w:tc>
        <w:tc>
          <w:tcPr>
            <w:tcW w:w="47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2" w:hRule="atLeast"/>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lang w:val="en-US" w:eastAsia="zh-CN"/>
              </w:rPr>
              <w:t>0</w:t>
            </w:r>
            <w:r>
              <w:rPr>
                <w:kern w:val="0"/>
                <w:sz w:val="21"/>
                <w:szCs w:val="21"/>
              </w:rPr>
              <w:t> </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35"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54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576"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1</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472"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val="en-US" w:eastAsia="zh-CN"/>
              </w:rPr>
            </w:pPr>
            <w:r>
              <w:rPr>
                <w:rFonts w:hint="eastAsia"/>
                <w:kern w:val="0"/>
                <w:sz w:val="21"/>
                <w:szCs w:val="21"/>
                <w:lang w:val="en-US" w:eastAsia="zh-CN"/>
              </w:rPr>
              <w:t>0</w:t>
            </w:r>
          </w:p>
        </w:tc>
      </w:tr>
    </w:tbl>
    <w:p>
      <w:pPr>
        <w:pStyle w:val="6"/>
        <w:widowControl/>
        <w:wordWrap/>
        <w:adjustRightInd/>
        <w:snapToGrid/>
        <w:spacing w:before="0" w:beforeAutospacing="0" w:after="0" w:afterAutospacing="0" w:line="560" w:lineRule="exact"/>
        <w:ind w:firstLine="632" w:firstLineChars="200"/>
        <w:jc w:val="both"/>
        <w:textAlignment w:val="auto"/>
        <w:rPr>
          <w:rFonts w:hint="eastAsia" w:ascii="黑体" w:hAnsi="黑体" w:eastAsia="黑体" w:cs="Times New Roman"/>
          <w:szCs w:val="32"/>
        </w:rPr>
      </w:pPr>
      <w:r>
        <w:rPr>
          <w:rFonts w:hint="eastAsia" w:ascii="黑体" w:hAnsi="黑体" w:eastAsia="黑体" w:cs="Times New Roman"/>
          <w:szCs w:val="32"/>
        </w:rPr>
        <w:t>五、存在的主要问题及改进情况</w:t>
      </w:r>
    </w:p>
    <w:p>
      <w:pPr>
        <w:widowControl/>
        <w:wordWrap/>
        <w:adjustRightInd/>
        <w:snapToGrid/>
        <w:spacing w:line="560" w:lineRule="exact"/>
        <w:ind w:left="0" w:leftChars="0" w:right="0"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sz w:val="32"/>
          <w:lang w:val="en-US" w:eastAsia="zh-CN"/>
        </w:rPr>
        <w:t>本机关</w:t>
      </w:r>
      <w:r>
        <w:rPr>
          <w:rFonts w:hint="eastAsia" w:ascii="仿宋_GB2312" w:hAnsi="仿宋_GB2312" w:eastAsia="仿宋_GB2312"/>
          <w:sz w:val="32"/>
          <w:lang w:val="en-US" w:eastAsia="zh-CN"/>
        </w:rPr>
        <w:t>认真开展政府信息公开工作，取得了一定成效，金融服务水平有了一定提高，但是与《条例》要求还有差距，主要表现在</w:t>
      </w:r>
      <w:r>
        <w:rPr>
          <w:rFonts w:hint="eastAsia" w:ascii="仿宋_GB2312" w:hAnsi="仿宋_GB2312"/>
          <w:sz w:val="32"/>
          <w:lang w:val="en-US" w:eastAsia="zh-CN"/>
        </w:rPr>
        <w:t>：一是</w:t>
      </w:r>
      <w:r>
        <w:rPr>
          <w:rFonts w:hint="eastAsia" w:ascii="仿宋_GB2312" w:hAnsi="仿宋_GB2312" w:eastAsia="仿宋_GB2312"/>
          <w:sz w:val="32"/>
          <w:lang w:val="en-US" w:eastAsia="zh-CN"/>
        </w:rPr>
        <w:t>政府信息公开的</w:t>
      </w:r>
      <w:r>
        <w:rPr>
          <w:rFonts w:hint="eastAsia" w:ascii="仿宋_GB2312" w:hAnsi="仿宋_GB2312"/>
          <w:sz w:val="32"/>
          <w:lang w:val="en-US" w:eastAsia="zh-CN"/>
        </w:rPr>
        <w:t>渠道单一；二是公开</w:t>
      </w:r>
      <w:r>
        <w:rPr>
          <w:rFonts w:hint="eastAsia" w:ascii="仿宋_GB2312" w:hAnsi="仿宋_GB2312" w:eastAsia="仿宋_GB2312"/>
          <w:sz w:val="32"/>
          <w:lang w:val="en-US" w:eastAsia="zh-CN"/>
        </w:rPr>
        <w:t>形式还不够丰富</w:t>
      </w:r>
      <w:r>
        <w:rPr>
          <w:rFonts w:hint="eastAsia" w:ascii="仿宋_GB2312" w:hAnsi="仿宋_GB2312"/>
          <w:sz w:val="32"/>
          <w:lang w:val="en-US" w:eastAsia="zh-CN"/>
        </w:rPr>
        <w:t>。针对以上</w:t>
      </w:r>
      <w:r>
        <w:rPr>
          <w:rFonts w:hint="eastAsia" w:ascii="仿宋_GB2312" w:hAnsi="仿宋_GB2312" w:eastAsia="仿宋_GB2312"/>
          <w:sz w:val="32"/>
          <w:lang w:val="en-US" w:eastAsia="zh-CN"/>
        </w:rPr>
        <w:t>问题，</w:t>
      </w:r>
      <w:r>
        <w:rPr>
          <w:rFonts w:hint="eastAsia" w:ascii="仿宋_GB2312" w:hAnsi="仿宋_GB2312"/>
          <w:sz w:val="32"/>
          <w:lang w:val="en-US" w:eastAsia="zh-CN"/>
        </w:rPr>
        <w:t>本机关高度重视，着眼于当前信息工作迅速发展的现状，及时调整步伐，跟上节奏和形势，结合社会发展做好公开内容的丰富性，提升信息可获取性和吸引力，让信息更好的服务人民群众</w:t>
      </w:r>
      <w:r>
        <w:rPr>
          <w:rFonts w:hint="eastAsia" w:ascii="仿宋_GB2312" w:hAnsi="仿宋_GB2312" w:eastAsia="仿宋_GB2312"/>
          <w:sz w:val="32"/>
          <w:lang w:val="en-US" w:eastAsia="zh-CN"/>
        </w:rPr>
        <w:t>。</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黑体" w:hAnsi="黑体" w:eastAsia="黑体" w:cs="Times New Roman"/>
          <w:szCs w:val="32"/>
        </w:rPr>
      </w:pPr>
      <w:r>
        <w:rPr>
          <w:rFonts w:hint="eastAsia" w:ascii="黑体" w:hAnsi="黑体" w:eastAsia="黑体" w:cs="Times New Roman"/>
          <w:szCs w:val="32"/>
        </w:rPr>
        <w:t>六、其他需要报告的事项</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Times New Roman" w:hAnsi="Times New Roman" w:cs="Times New Roman"/>
          <w:szCs w:val="32"/>
          <w:lang w:eastAsia="zh-CN"/>
        </w:rPr>
      </w:pPr>
      <w:r>
        <w:rPr>
          <w:rFonts w:hint="eastAsia" w:ascii="Times New Roman" w:hAnsi="Times New Roman" w:cs="Times New Roman"/>
          <w:szCs w:val="32"/>
          <w:lang w:eastAsia="zh-CN"/>
        </w:rPr>
        <w:t>根据国务院办公厅印发的《政府信息公开信息处理费管理办法》和浙江省政府办公厅、宁波市政府办公厅关于政府信息公开信息处理费收取工作的有关规定，报告年度内本机关受理的</w:t>
      </w:r>
      <w:r>
        <w:rPr>
          <w:rFonts w:hint="eastAsia" w:cs="Times New Roman"/>
          <w:szCs w:val="32"/>
          <w:lang w:val="en-US" w:eastAsia="zh-CN"/>
        </w:rPr>
        <w:t>2</w:t>
      </w:r>
      <w:r>
        <w:rPr>
          <w:rFonts w:hint="eastAsia" w:ascii="Times New Roman" w:hAnsi="Times New Roman" w:cs="Times New Roman"/>
          <w:szCs w:val="32"/>
          <w:lang w:eastAsia="zh-CN"/>
        </w:rPr>
        <w:t>件政府信息公开申请均不属于超出合理数量或频次范围，故未向任何申请人收取信息处理费。后续将严格执行相关收费管理规定，依法保障公众知情权，维护政府信息公开工作秩序。</w:t>
      </w:r>
      <w:bookmarkStart w:id="0" w:name="_GoBack"/>
      <w:bookmarkEnd w:id="0"/>
    </w:p>
    <w:p/>
    <w:sectPr>
      <w:footerReference r:id="rId4" w:type="default"/>
      <w:footerReference r:id="rId5" w:type="even"/>
      <w:pgSz w:w="11906" w:h="16838"/>
      <w:pgMar w:top="1701" w:right="1474" w:bottom="1134" w:left="1588" w:header="851" w:footer="992" w:gutter="0"/>
      <w:cols w:space="720" w:num="1"/>
      <w:titlePg/>
      <w:docGrid w:type="linesAndChars" w:linePitch="636"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auto"/>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00"/>
    <w:family w:val="auto"/>
    <w:pitch w:val="default"/>
    <w:sig w:usb0="00000000" w:usb1="00000000"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ntury Gothic">
    <w:panose1 w:val="020B05020202020202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rPr>
        <w:rStyle w:val="8"/>
      </w:rPr>
    </w:pPr>
    <w:r>
      <w:fldChar w:fldCharType="begin"/>
    </w:r>
    <w:r>
      <w:rPr>
        <w:rStyle w:val="8"/>
      </w:rPr>
      <w:instrText xml:space="preserve">PAGE  </w:instrText>
    </w:r>
    <w:r>
      <w:fldChar w:fldCharType="separate"/>
    </w:r>
    <w:r>
      <w:rPr>
        <w:rStyle w:val="8"/>
      </w:rPr>
      <w:t>4</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rPr>
        <w:rStyle w:val="8"/>
      </w:rPr>
    </w:pPr>
    <w:r>
      <w:fldChar w:fldCharType="begin"/>
    </w:r>
    <w:r>
      <w:rPr>
        <w:rStyle w:val="8"/>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24904D9A"/>
    <w:rsid w:val="02F65D5F"/>
    <w:rsid w:val="0F105C1E"/>
    <w:rsid w:val="1B06623F"/>
    <w:rsid w:val="24904D9A"/>
    <w:rsid w:val="31F17348"/>
    <w:rsid w:val="4F996814"/>
    <w:rsid w:val="5E644F8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uiPriority w:val="0"/>
  </w:style>
  <w:style w:type="table" w:default="1" w:styleId="9">
    <w:name w:val="Normal Table"/>
    <w:semiHidden/>
    <w:qFormat/>
    <w:uiPriority w:val="0"/>
    <w:tblPr>
      <w:tblStyle w:val="9"/>
      <w:tblLayout w:type="fixed"/>
      <w:tblCellMar>
        <w:top w:w="0" w:type="dxa"/>
        <w:left w:w="108" w:type="dxa"/>
        <w:bottom w:w="0" w:type="dxa"/>
        <w:right w:w="108" w:type="dxa"/>
      </w:tblCellMar>
    </w:tblPr>
    <w:tcPr>
      <w:textDirection w:val="lrTb"/>
    </w:tc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next w:val="4"/>
    <w:unhideWhenUsed/>
    <w:qFormat/>
    <w:uiPriority w:val="99"/>
    <w:pPr>
      <w:spacing w:after="120"/>
      <w:ind w:left="420" w:leftChars="200"/>
    </w:pPr>
    <w:rPr>
      <w:rFonts w:hint="default"/>
      <w:sz w:val="21"/>
    </w:rPr>
  </w:style>
  <w:style w:type="paragraph" w:styleId="4">
    <w:name w:val="Normal Indent"/>
    <w:basedOn w:val="1"/>
    <w:qFormat/>
    <w:uiPriority w:val="0"/>
    <w:pPr>
      <w:ind w:firstLine="420" w:firstLineChars="200"/>
    </w:pPr>
    <w:rPr>
      <w:rFonts w:eastAsia="仿宋"/>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semiHidden/>
    <w:qFormat/>
    <w:uiPriority w:val="0"/>
    <w:pPr>
      <w:jc w:val="left"/>
    </w:pPr>
    <w:rPr>
      <w:rFonts w:eastAsia="仿宋_GB2312"/>
      <w:kern w:val="0"/>
      <w:sz w:val="32"/>
      <w:szCs w:val="32"/>
    </w:rPr>
  </w:style>
  <w:style w:type="character" w:styleId="8">
    <w:name w:val="page number"/>
    <w:basedOn w:val="7"/>
    <w:qFormat/>
    <w:uiPriority w:val="0"/>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2022-01-13T02:09:00Z</dcterms:created>
  <dc:creator>微信用户</dc:creator>
  <cp:lastModifiedBy>nbgly</cp:lastModifiedBy>
  <dcterms:modified xsi:type="dcterms:W3CDTF">2022-01-29T06:22:59Z</dcterms:modified>
  <dc:title>宁波市镇海区中国人民银行北仑支行</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