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color w:val="auto"/>
          <w:kern w:val="0"/>
          <w:sz w:val="44"/>
          <w:szCs w:val="44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color w:val="auto"/>
          <w:kern w:val="0"/>
          <w:sz w:val="44"/>
          <w:szCs w:val="44"/>
          <w:lang w:val="en-US" w:eastAsia="zh-CN" w:bidi="ar"/>
        </w:rPr>
        <w:t>2021年度北仑区综合行政执法局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60" w:lineRule="exact"/>
        <w:jc w:val="center"/>
        <w:textAlignment w:val="auto"/>
        <w:rPr>
          <w:rFonts w:hint="eastAsia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color w:val="auto"/>
          <w:kern w:val="0"/>
          <w:sz w:val="44"/>
          <w:szCs w:val="44"/>
          <w:lang w:val="en-US" w:eastAsia="zh-CN" w:bidi="ar"/>
        </w:rPr>
        <w:t>政府信息公开工作年度报告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b w:val="0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color w:val="auto"/>
          <w:sz w:val="32"/>
          <w:szCs w:val="32"/>
          <w:lang w:val="en-US" w:eastAsia="zh-CN"/>
        </w:rPr>
        <w:t>一、总体情况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b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color w:val="auto"/>
          <w:sz w:val="32"/>
          <w:szCs w:val="32"/>
          <w:lang w:val="en-US" w:eastAsia="zh-CN"/>
        </w:rPr>
        <w:t>2021年，北仑区综合行政执法局深入贯彻落实党中央、国务院的重大决策部署和省、市、区各项工作要求，全面贯彻执行《中华人民共和国政府信息公开条例》，聚焦行政许可、行政处罚、基本民生等重点领域，切实推进政务公开工作，不断提高群众的参与度、知晓度和满意度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right="0" w:rightChars="0" w:firstLine="643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lang w:val="en-US" w:eastAsia="zh-CN"/>
        </w:rPr>
        <w:t>（一）及时主动公开。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2021年，区综合行政执法局根据区政府统一安排，结合部门职责和公共服务事项，通过图表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图解、图文并茂等形式，做好政府信息公开工作。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2021年，主动发布政务微博75条、政务微信120条，通过局网站主动公开信息1805条，其中部门文件3条、建筑垃圾核准类信息32条、财务绩效类信息10条、建议提案类21条、工作动态类信息1009条、公告公示类730条。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right="0" w:rightChars="0" w:firstLine="643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lang w:val="en-US" w:eastAsia="zh-CN"/>
        </w:rPr>
        <w:t>（二）做好依申请公开。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一是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畅通受理渠道，完善工作机制，安排专人负责日常工作，方便公众申请。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二是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制作依申请公开政府信息处理流程图，明确依申请公开办事程序、时限、答复规范等。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三是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改进完善申请办理方式，加强与申请人沟通，做好解疑释惑工作，引导公众正确行使申请权和救济权。2021年收到依申请公开1件，已按照规定程序和要求及时答复申请人。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right="0" w:rightChars="0" w:firstLine="643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lang w:val="en-US" w:eastAsia="zh-CN"/>
        </w:rPr>
        <w:t>（三）落实政府信息管理。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一是</w:t>
      </w:r>
      <w:r>
        <w:rPr>
          <w:rFonts w:hint="eastAsia" w:ascii="仿宋_GB2312" w:hAnsi="仿宋_GB2312" w:eastAsia="仿宋_GB2312" w:cs="仿宋_GB2312"/>
          <w:b w:val="0"/>
          <w:color w:val="auto"/>
          <w:sz w:val="32"/>
          <w:szCs w:val="32"/>
          <w:lang w:val="en-US" w:eastAsia="zh-CN"/>
        </w:rPr>
        <w:t>按照“谁制作、谁发布、谁负责”实行“先审查、后公开”和“一事一审”原则。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二是</w:t>
      </w:r>
      <w:r>
        <w:rPr>
          <w:rFonts w:hint="eastAsia" w:ascii="仿宋_GB2312" w:hAnsi="仿宋_GB2312" w:eastAsia="仿宋_GB2312" w:cs="仿宋_GB2312"/>
          <w:b w:val="0"/>
          <w:color w:val="auto"/>
          <w:sz w:val="32"/>
          <w:szCs w:val="32"/>
          <w:lang w:val="en-US" w:eastAsia="zh-CN"/>
        </w:rPr>
        <w:t>严格信息类型，明确禁止公开类信息、可不予公开类信息、主动公开类信息与依申请公开类信息。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三是</w:t>
      </w:r>
      <w:r>
        <w:rPr>
          <w:rFonts w:hint="eastAsia" w:ascii="仿宋_GB2312" w:hAnsi="仿宋_GB2312" w:eastAsia="仿宋_GB2312" w:cs="仿宋_GB2312"/>
          <w:b w:val="0"/>
          <w:color w:val="auto"/>
          <w:sz w:val="32"/>
          <w:szCs w:val="32"/>
          <w:lang w:val="en-US" w:eastAsia="zh-CN"/>
        </w:rPr>
        <w:t>严格内容审核、时效性审核和保密审查。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四</w:t>
      </w:r>
      <w:r>
        <w:rPr>
          <w:rFonts w:hint="eastAsia" w:ascii="仿宋_GB2312" w:hAnsi="仿宋_GB2312" w:eastAsia="仿宋_GB2312" w:cs="仿宋_GB2312"/>
          <w:b w:val="0"/>
          <w:color w:val="auto"/>
          <w:sz w:val="32"/>
          <w:szCs w:val="32"/>
          <w:lang w:val="en-US" w:eastAsia="zh-CN"/>
        </w:rPr>
        <w:t>是规范发布程序，按照草拟、审核、录入、检查、发布，确保发布信息质量。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right="0" w:rightChars="0" w:firstLine="643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lang w:val="en-US" w:eastAsia="zh-CN"/>
        </w:rPr>
        <w:t>（四）完善信息公开平台建设。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进一步优化网站功能、栏目设置，设立法规文件、计划规划、行政处罚、财务信息、建议提案、公告公示、政务动态等栏目，着力将局网站打造成更加全面的政务信息平台、更加权威的政策发布解读平台、更加及时回应民生关切的便民服务平台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rightChars="0" w:firstLine="643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lang w:val="en-US" w:eastAsia="zh-CN"/>
        </w:rPr>
        <w:t>（五）加强监督保障。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成立了局主要领导任组长、分管领导任副组长、各科室负责人为成员的信息公开工作领导小组。制定《区综合行政执法局信息公开责任分解方案》，明确部门职责和任务，形成齐抓共管的工作合力。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640" w:firstLineChars="200"/>
        <w:jc w:val="left"/>
        <w:textAlignment w:val="auto"/>
        <w:rPr>
          <w:rFonts w:hint="eastAsia" w:ascii="黑体" w:hAnsi="黑体" w:eastAsia="黑体"/>
          <w:color w:val="auto"/>
          <w:sz w:val="32"/>
        </w:rPr>
      </w:pPr>
      <w:r>
        <w:rPr>
          <w:rFonts w:hint="eastAsia" w:ascii="黑体" w:hAnsi="黑体" w:eastAsia="黑体" w:cs="黑体"/>
          <w:b w:val="0"/>
          <w:color w:val="auto"/>
          <w:sz w:val="32"/>
          <w:szCs w:val="32"/>
          <w:lang w:val="en-US" w:eastAsia="zh-CN"/>
        </w:rPr>
        <w:t>二、主动公开政府信息情况</w:t>
      </w:r>
    </w:p>
    <w:tbl>
      <w:tblPr>
        <w:tblStyle w:val="5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89"/>
        <w:gridCol w:w="2188"/>
        <w:gridCol w:w="2189"/>
        <w:gridCol w:w="218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8754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第二十条第（一）项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18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21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制发件数</w:t>
            </w:r>
          </w:p>
        </w:tc>
        <w:tc>
          <w:tcPr>
            <w:tcW w:w="21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本年废止件数</w:t>
            </w:r>
          </w:p>
        </w:tc>
        <w:tc>
          <w:tcPr>
            <w:tcW w:w="21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现行有效件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18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规章</w:t>
            </w:r>
          </w:p>
        </w:tc>
        <w:tc>
          <w:tcPr>
            <w:tcW w:w="21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left"/>
            </w:pPr>
          </w:p>
        </w:tc>
        <w:tc>
          <w:tcPr>
            <w:tcW w:w="2189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left"/>
            </w:pPr>
          </w:p>
        </w:tc>
        <w:tc>
          <w:tcPr>
            <w:tcW w:w="21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18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行政规范性文件</w:t>
            </w:r>
          </w:p>
        </w:tc>
        <w:tc>
          <w:tcPr>
            <w:tcW w:w="218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left"/>
            </w:pPr>
          </w:p>
        </w:tc>
        <w:tc>
          <w:tcPr>
            <w:tcW w:w="21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left"/>
            </w:pPr>
          </w:p>
        </w:tc>
        <w:tc>
          <w:tcPr>
            <w:tcW w:w="218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87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6D9F1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第二十条第（五）项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189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6565" w:type="dxa"/>
            <w:gridSpan w:val="3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1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行政许可</w:t>
            </w:r>
          </w:p>
        </w:tc>
        <w:tc>
          <w:tcPr>
            <w:tcW w:w="656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color w:val="333333"/>
                <w:kern w:val="2"/>
                <w:sz w:val="21"/>
                <w:szCs w:val="21"/>
                <w:lang w:val="en-US" w:eastAsia="zh-CN" w:bidi="ar"/>
              </w:rPr>
              <w:t>671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8754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第二十条第（六）项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18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leftChars="0" w:right="0" w:rightChars="0" w:firstLine="0" w:firstLineChars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656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leftChars="0" w:right="0" w:rightChars="0" w:firstLine="0" w:firstLineChars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18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行政处罚</w:t>
            </w:r>
          </w:p>
        </w:tc>
        <w:tc>
          <w:tcPr>
            <w:tcW w:w="656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5246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189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行政强制</w:t>
            </w:r>
          </w:p>
        </w:tc>
        <w:tc>
          <w:tcPr>
            <w:tcW w:w="6565" w:type="dxa"/>
            <w:gridSpan w:val="3"/>
            <w:tcBorders>
              <w:top w:val="single" w:color="auto" w:sz="4" w:space="0"/>
              <w:left w:val="nil"/>
              <w:bottom w:val="single" w:color="auto" w:sz="8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8754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6D9F1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第二十条第（八）项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189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6565" w:type="dxa"/>
            <w:gridSpan w:val="3"/>
            <w:tcBorders>
              <w:top w:val="single" w:color="auto" w:sz="4" w:space="0"/>
              <w:left w:val="nil"/>
              <w:bottom w:val="single" w:color="auto" w:sz="8" w:space="0"/>
              <w:right w:val="single" w:color="000000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本年收费金额（单位：万元）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18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行政事业性收费</w:t>
            </w:r>
          </w:p>
        </w:tc>
        <w:tc>
          <w:tcPr>
            <w:tcW w:w="656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324</w:t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lang w:eastAsia="zh-CN"/>
              </w:rPr>
              <w:t>.</w:t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lang w:val="en-US" w:eastAsia="zh-CN"/>
              </w:rPr>
              <w:t>80</w:t>
            </w:r>
          </w:p>
        </w:tc>
      </w:tr>
    </w:tbl>
    <w:p>
      <w:pPr>
        <w:pStyle w:val="4"/>
        <w:keepNext w:val="0"/>
        <w:keepLines w:val="0"/>
        <w:pageBreakBefore w:val="0"/>
        <w:widowControl/>
        <w:suppressLineNumbers w:val="0"/>
        <w:pBdr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b w:val="0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color w:val="auto"/>
          <w:sz w:val="32"/>
          <w:szCs w:val="32"/>
          <w:lang w:val="en-US" w:eastAsia="zh-CN"/>
        </w:rPr>
        <w:t>三、收到和处理政府信息公开申请情况</w:t>
      </w:r>
    </w:p>
    <w:tbl>
      <w:tblPr>
        <w:tblStyle w:val="5"/>
        <w:tblW w:w="0" w:type="auto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1028"/>
        <w:gridCol w:w="900"/>
        <w:gridCol w:w="2543"/>
        <w:gridCol w:w="619"/>
        <w:gridCol w:w="619"/>
        <w:gridCol w:w="619"/>
        <w:gridCol w:w="620"/>
        <w:gridCol w:w="619"/>
        <w:gridCol w:w="619"/>
        <w:gridCol w:w="619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4471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outset" w:color="auto" w:sz="6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left"/>
              <w:textAlignment w:val="auto"/>
            </w:pPr>
            <w:r>
              <w:rPr>
                <w:rFonts w:hint="eastAsia" w:ascii="楷体" w:hAnsi="楷体" w:eastAsia="楷体" w:cs="楷体"/>
                <w:color w:val="333333"/>
                <w:kern w:val="0"/>
                <w:sz w:val="20"/>
                <w:szCs w:val="20"/>
                <w:lang w:val="en-US" w:eastAsia="zh-CN" w:bidi="ar"/>
              </w:rPr>
              <w:t>（本列数据的勾稽关系为：第一项加第二项之和，等于第三项加第四项之和）</w:t>
            </w:r>
          </w:p>
        </w:tc>
        <w:tc>
          <w:tcPr>
            <w:tcW w:w="4334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申请人情况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447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6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</w:p>
        </w:tc>
        <w:tc>
          <w:tcPr>
            <w:tcW w:w="619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自然人</w:t>
            </w:r>
          </w:p>
        </w:tc>
        <w:tc>
          <w:tcPr>
            <w:tcW w:w="3096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法人或其他组织</w:t>
            </w:r>
          </w:p>
        </w:tc>
        <w:tc>
          <w:tcPr>
            <w:tcW w:w="619" w:type="dxa"/>
            <w:vMerge w:val="restart"/>
            <w:tcBorders>
              <w:top w:val="single" w:color="auto" w:sz="8" w:space="0"/>
              <w:left w:val="nil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447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6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</w:p>
        </w:tc>
        <w:tc>
          <w:tcPr>
            <w:tcW w:w="61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商业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企业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科研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机构</w:t>
            </w:r>
          </w:p>
        </w:tc>
        <w:tc>
          <w:tcPr>
            <w:tcW w:w="6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社会公益组织</w:t>
            </w:r>
          </w:p>
        </w:tc>
        <w:tc>
          <w:tcPr>
            <w:tcW w:w="61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法律服务机构</w:t>
            </w:r>
          </w:p>
        </w:tc>
        <w:tc>
          <w:tcPr>
            <w:tcW w:w="61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其他</w:t>
            </w:r>
          </w:p>
        </w:tc>
        <w:tc>
          <w:tcPr>
            <w:tcW w:w="619" w:type="dxa"/>
            <w:vMerge w:val="continue"/>
            <w:tcBorders>
              <w:top w:val="single" w:color="auto" w:sz="8" w:space="0"/>
              <w:left w:val="nil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447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left"/>
              <w:textAlignment w:val="auto"/>
              <w:rPr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333333"/>
                <w:kern w:val="0"/>
                <w:sz w:val="20"/>
                <w:szCs w:val="20"/>
                <w:lang w:val="en-US" w:eastAsia="zh-CN" w:bidi="ar"/>
              </w:rPr>
              <w:t>一、本年新收政府信息公开申请数量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333333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333333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333333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333333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333333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333333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333333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447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二、上年结转政府信息公开申请数量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1028" w:type="dxa"/>
            <w:vMerge w:val="restart"/>
            <w:tcBorders>
              <w:top w:val="nil"/>
              <w:left w:val="single" w:color="auto" w:sz="4" w:space="0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三、本年度办理结果</w:t>
            </w:r>
          </w:p>
        </w:tc>
        <w:tc>
          <w:tcPr>
            <w:tcW w:w="344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（一）予以公开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1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1028" w:type="dxa"/>
            <w:vMerge w:val="continue"/>
            <w:tcBorders>
              <w:top w:val="nil"/>
              <w:left w:val="single" w:color="auto" w:sz="4" w:space="0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</w:p>
        </w:tc>
        <w:tc>
          <w:tcPr>
            <w:tcW w:w="344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（二）部分公开</w:t>
            </w:r>
            <w:r>
              <w:rPr>
                <w:rFonts w:hint="eastAsia" w:ascii="楷体" w:hAnsi="楷体" w:eastAsia="楷体" w:cs="楷体"/>
                <w:color w:val="333333"/>
                <w:kern w:val="0"/>
                <w:sz w:val="20"/>
                <w:szCs w:val="20"/>
                <w:lang w:val="en-US" w:eastAsia="zh-CN" w:bidi="ar"/>
              </w:rPr>
              <w:t>（区分处理的，只计这一情形，不计其他情形）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1028" w:type="dxa"/>
            <w:vMerge w:val="continue"/>
            <w:tcBorders>
              <w:top w:val="nil"/>
              <w:left w:val="single" w:color="auto" w:sz="4" w:space="0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</w:p>
        </w:tc>
        <w:tc>
          <w:tcPr>
            <w:tcW w:w="900" w:type="dxa"/>
            <w:vMerge w:val="restart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（三）不予公开</w:t>
            </w:r>
          </w:p>
        </w:tc>
        <w:tc>
          <w:tcPr>
            <w:tcW w:w="25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1.属于国家秘密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1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90" w:hRule="atLeast"/>
          <w:jc w:val="center"/>
        </w:trPr>
        <w:tc>
          <w:tcPr>
            <w:tcW w:w="1028" w:type="dxa"/>
            <w:vMerge w:val="continue"/>
            <w:tcBorders>
              <w:top w:val="nil"/>
              <w:left w:val="single" w:color="auto" w:sz="4" w:space="0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</w:p>
        </w:tc>
        <w:tc>
          <w:tcPr>
            <w:tcW w:w="900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</w:p>
        </w:tc>
        <w:tc>
          <w:tcPr>
            <w:tcW w:w="25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2.其他法律行政法规禁止公开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1028" w:type="dxa"/>
            <w:vMerge w:val="continue"/>
            <w:tcBorders>
              <w:top w:val="nil"/>
              <w:left w:val="single" w:color="auto" w:sz="4" w:space="0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</w:p>
        </w:tc>
        <w:tc>
          <w:tcPr>
            <w:tcW w:w="900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</w:p>
        </w:tc>
        <w:tc>
          <w:tcPr>
            <w:tcW w:w="25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3.危及“三安全一稳定”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1028" w:type="dxa"/>
            <w:vMerge w:val="continue"/>
            <w:tcBorders>
              <w:top w:val="nil"/>
              <w:left w:val="single" w:color="auto" w:sz="4" w:space="0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</w:p>
        </w:tc>
        <w:tc>
          <w:tcPr>
            <w:tcW w:w="900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</w:p>
        </w:tc>
        <w:tc>
          <w:tcPr>
            <w:tcW w:w="25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4.保护第三方合法权益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1028" w:type="dxa"/>
            <w:vMerge w:val="continue"/>
            <w:tcBorders>
              <w:top w:val="nil"/>
              <w:left w:val="single" w:color="auto" w:sz="4" w:space="0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</w:p>
        </w:tc>
        <w:tc>
          <w:tcPr>
            <w:tcW w:w="900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</w:p>
        </w:tc>
        <w:tc>
          <w:tcPr>
            <w:tcW w:w="25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5.属于三类内部事务信息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1028" w:type="dxa"/>
            <w:vMerge w:val="continue"/>
            <w:tcBorders>
              <w:top w:val="nil"/>
              <w:left w:val="single" w:color="auto" w:sz="4" w:space="0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</w:p>
        </w:tc>
        <w:tc>
          <w:tcPr>
            <w:tcW w:w="900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</w:p>
        </w:tc>
        <w:tc>
          <w:tcPr>
            <w:tcW w:w="25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6.属于四类过程性信息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1028" w:type="dxa"/>
            <w:vMerge w:val="continue"/>
            <w:tcBorders>
              <w:top w:val="nil"/>
              <w:left w:val="single" w:color="auto" w:sz="4" w:space="0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</w:p>
        </w:tc>
        <w:tc>
          <w:tcPr>
            <w:tcW w:w="900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</w:p>
        </w:tc>
        <w:tc>
          <w:tcPr>
            <w:tcW w:w="25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left"/>
              <w:textAlignment w:val="auto"/>
              <w:rPr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333333"/>
                <w:kern w:val="0"/>
                <w:sz w:val="20"/>
                <w:szCs w:val="20"/>
                <w:lang w:val="en-US" w:eastAsia="zh-CN" w:bidi="ar"/>
              </w:rPr>
              <w:t>7.属于行政执法案卷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333333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333333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333333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333333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333333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333333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333333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1028" w:type="dxa"/>
            <w:vMerge w:val="continue"/>
            <w:tcBorders>
              <w:top w:val="nil"/>
              <w:left w:val="single" w:color="auto" w:sz="4" w:space="0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</w:p>
        </w:tc>
        <w:tc>
          <w:tcPr>
            <w:tcW w:w="900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</w:p>
        </w:tc>
        <w:tc>
          <w:tcPr>
            <w:tcW w:w="25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8.属于行政查询事项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1028" w:type="dxa"/>
            <w:vMerge w:val="continue"/>
            <w:tcBorders>
              <w:top w:val="nil"/>
              <w:left w:val="single" w:color="auto" w:sz="4" w:space="0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</w:p>
        </w:tc>
        <w:tc>
          <w:tcPr>
            <w:tcW w:w="900" w:type="dxa"/>
            <w:vMerge w:val="restart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（四）无法提供</w:t>
            </w:r>
          </w:p>
        </w:tc>
        <w:tc>
          <w:tcPr>
            <w:tcW w:w="25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1.本机关不掌握相关政府信息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1028" w:type="dxa"/>
            <w:vMerge w:val="continue"/>
            <w:tcBorders>
              <w:top w:val="nil"/>
              <w:left w:val="single" w:color="auto" w:sz="4" w:space="0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</w:p>
        </w:tc>
        <w:tc>
          <w:tcPr>
            <w:tcW w:w="900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</w:p>
        </w:tc>
        <w:tc>
          <w:tcPr>
            <w:tcW w:w="25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2.没有现成信息需要另行制作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1028" w:type="dxa"/>
            <w:vMerge w:val="continue"/>
            <w:tcBorders>
              <w:top w:val="nil"/>
              <w:left w:val="single" w:color="auto" w:sz="4" w:space="0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</w:p>
        </w:tc>
        <w:tc>
          <w:tcPr>
            <w:tcW w:w="900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</w:p>
        </w:tc>
        <w:tc>
          <w:tcPr>
            <w:tcW w:w="25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3.补正后申请内容仍不明确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1028" w:type="dxa"/>
            <w:vMerge w:val="continue"/>
            <w:tcBorders>
              <w:top w:val="nil"/>
              <w:left w:val="single" w:color="auto" w:sz="4" w:space="0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</w:p>
        </w:tc>
        <w:tc>
          <w:tcPr>
            <w:tcW w:w="900" w:type="dxa"/>
            <w:vMerge w:val="restart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（五）不予处理</w:t>
            </w:r>
          </w:p>
        </w:tc>
        <w:tc>
          <w:tcPr>
            <w:tcW w:w="25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1.信访举报投诉类申请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1028" w:type="dxa"/>
            <w:vMerge w:val="continue"/>
            <w:tcBorders>
              <w:top w:val="nil"/>
              <w:left w:val="single" w:color="auto" w:sz="4" w:space="0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</w:p>
        </w:tc>
        <w:tc>
          <w:tcPr>
            <w:tcW w:w="900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</w:p>
        </w:tc>
        <w:tc>
          <w:tcPr>
            <w:tcW w:w="254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2.重复申请</w:t>
            </w:r>
          </w:p>
        </w:tc>
        <w:tc>
          <w:tcPr>
            <w:tcW w:w="61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1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1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1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1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1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1028" w:type="dxa"/>
            <w:vMerge w:val="continue"/>
            <w:tcBorders>
              <w:top w:val="nil"/>
              <w:left w:val="single" w:color="auto" w:sz="4" w:space="0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</w:p>
        </w:tc>
        <w:tc>
          <w:tcPr>
            <w:tcW w:w="900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</w:p>
        </w:tc>
        <w:tc>
          <w:tcPr>
            <w:tcW w:w="254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3.要求提供公开出版物</w:t>
            </w:r>
          </w:p>
        </w:tc>
        <w:tc>
          <w:tcPr>
            <w:tcW w:w="61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1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1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1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1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1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102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</w:p>
        </w:tc>
        <w:tc>
          <w:tcPr>
            <w:tcW w:w="90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</w:p>
        </w:tc>
        <w:tc>
          <w:tcPr>
            <w:tcW w:w="2543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4.无正当理由大量反复申请</w:t>
            </w:r>
          </w:p>
        </w:tc>
        <w:tc>
          <w:tcPr>
            <w:tcW w:w="619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19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19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20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19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19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19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79" w:hRule="atLeast"/>
          <w:jc w:val="center"/>
        </w:trPr>
        <w:tc>
          <w:tcPr>
            <w:tcW w:w="10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</w:p>
        </w:tc>
        <w:tc>
          <w:tcPr>
            <w:tcW w:w="90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</w:p>
        </w:tc>
        <w:tc>
          <w:tcPr>
            <w:tcW w:w="2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both"/>
              <w:textAlignment w:val="auto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5.要求行政机关确认或重新出具已获取信息</w:t>
            </w:r>
          </w:p>
        </w:tc>
        <w:tc>
          <w:tcPr>
            <w:tcW w:w="6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1028" w:type="dxa"/>
            <w:vMerge w:val="continue"/>
            <w:tcBorders>
              <w:top w:val="single" w:color="auto" w:sz="4" w:space="0"/>
              <w:left w:val="single" w:color="auto" w:sz="4" w:space="0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</w:p>
        </w:tc>
        <w:tc>
          <w:tcPr>
            <w:tcW w:w="900" w:type="dxa"/>
            <w:vMerge w:val="restart"/>
            <w:tcBorders>
              <w:top w:val="single" w:color="auto" w:sz="4" w:space="0"/>
              <w:left w:val="nil"/>
              <w:bottom w:val="outset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（六）其他处理</w:t>
            </w:r>
          </w:p>
        </w:tc>
        <w:tc>
          <w:tcPr>
            <w:tcW w:w="2543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both"/>
              <w:textAlignment w:val="auto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1.申请人无正当理由逾期不补正、行政机关不再处理其政府信息公开申请</w:t>
            </w:r>
          </w:p>
        </w:tc>
        <w:tc>
          <w:tcPr>
            <w:tcW w:w="619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19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19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20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19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19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19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1028" w:type="dxa"/>
            <w:vMerge w:val="continue"/>
            <w:tcBorders>
              <w:top w:val="nil"/>
              <w:left w:val="single" w:color="auto" w:sz="4" w:space="0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</w:p>
        </w:tc>
        <w:tc>
          <w:tcPr>
            <w:tcW w:w="900" w:type="dxa"/>
            <w:vMerge w:val="continue"/>
            <w:tcBorders>
              <w:top w:val="outset" w:color="auto" w:sz="6" w:space="0"/>
              <w:left w:val="nil"/>
              <w:bottom w:val="outset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</w:p>
        </w:tc>
        <w:tc>
          <w:tcPr>
            <w:tcW w:w="25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both"/>
              <w:textAlignment w:val="auto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102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</w:p>
        </w:tc>
        <w:tc>
          <w:tcPr>
            <w:tcW w:w="900" w:type="dxa"/>
            <w:vMerge w:val="continue"/>
            <w:tcBorders>
              <w:top w:val="outset" w:color="auto" w:sz="6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</w:p>
        </w:tc>
        <w:tc>
          <w:tcPr>
            <w:tcW w:w="2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3.其他</w:t>
            </w:r>
          </w:p>
        </w:tc>
        <w:tc>
          <w:tcPr>
            <w:tcW w:w="6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88" w:hRule="atLeast"/>
          <w:jc w:val="center"/>
        </w:trPr>
        <w:tc>
          <w:tcPr>
            <w:tcW w:w="10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</w:p>
        </w:tc>
        <w:tc>
          <w:tcPr>
            <w:tcW w:w="34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left"/>
              <w:textAlignment w:val="auto"/>
              <w:rPr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333333"/>
                <w:kern w:val="0"/>
                <w:sz w:val="20"/>
                <w:szCs w:val="20"/>
                <w:lang w:val="en-US" w:eastAsia="zh-CN" w:bidi="ar"/>
              </w:rPr>
              <w:t>（七）总计</w:t>
            </w:r>
          </w:p>
        </w:tc>
        <w:tc>
          <w:tcPr>
            <w:tcW w:w="6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333333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6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333333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333333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333333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333333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333333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333333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44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四、结转下年度继续办理</w:t>
            </w:r>
          </w:p>
        </w:tc>
        <w:tc>
          <w:tcPr>
            <w:tcW w:w="6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333333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21"/>
                <w:szCs w:val="21"/>
                <w:lang w:val="en-US" w:eastAsia="zh-CN"/>
              </w:rPr>
              <w:t>0</w:t>
            </w:r>
          </w:p>
        </w:tc>
      </w:tr>
    </w:tbl>
    <w:p>
      <w:pPr>
        <w:pStyle w:val="4"/>
        <w:keepNext w:val="0"/>
        <w:keepLines w:val="0"/>
        <w:pageBreakBefore w:val="0"/>
        <w:widowControl/>
        <w:suppressLineNumbers w:val="0"/>
        <w:pBdr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640" w:firstLineChars="200"/>
        <w:jc w:val="left"/>
        <w:textAlignment w:val="auto"/>
        <w:rPr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24"/>
          <w:szCs w:val="24"/>
        </w:rPr>
      </w:pPr>
      <w:r>
        <w:rPr>
          <w:rFonts w:hint="eastAsia" w:ascii="黑体" w:hAnsi="黑体" w:eastAsia="黑体" w:cs="黑体"/>
          <w:b w:val="0"/>
          <w:color w:val="auto"/>
          <w:sz w:val="32"/>
          <w:szCs w:val="32"/>
          <w:lang w:val="en-US" w:eastAsia="zh-CN"/>
        </w:rPr>
        <w:t>四、政府信息公开行政复议、行政诉讼情况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0"/>
        <w:gridCol w:w="590"/>
        <w:gridCol w:w="590"/>
        <w:gridCol w:w="590"/>
        <w:gridCol w:w="590"/>
        <w:gridCol w:w="590"/>
        <w:gridCol w:w="590"/>
        <w:gridCol w:w="591"/>
        <w:gridCol w:w="590"/>
        <w:gridCol w:w="591"/>
        <w:gridCol w:w="591"/>
        <w:gridCol w:w="591"/>
        <w:gridCol w:w="591"/>
        <w:gridCol w:w="591"/>
        <w:gridCol w:w="5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295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leftChars="0" w:right="0" w:rightChars="0" w:firstLine="0" w:firstLineChars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行政复议</w:t>
            </w:r>
          </w:p>
        </w:tc>
        <w:tc>
          <w:tcPr>
            <w:tcW w:w="590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leftChars="0" w:right="0" w:rightChars="0" w:firstLine="0" w:firstLineChars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行政诉讼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59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leftChars="0" w:right="0" w:rightChars="0" w:firstLine="0" w:firstLineChars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结果维持</w:t>
            </w:r>
          </w:p>
        </w:tc>
        <w:tc>
          <w:tcPr>
            <w:tcW w:w="59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leftChars="0" w:right="0" w:rightChars="0" w:firstLine="0" w:firstLineChars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5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其他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leftChars="0" w:right="0" w:rightChars="0" w:firstLine="0" w:firstLineChars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5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尚未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leftChars="0" w:right="0" w:rightChars="0" w:firstLine="0" w:firstLineChars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5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leftChars="0" w:right="0" w:rightChars="0" w:firstLine="0" w:firstLineChars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  <w:tc>
          <w:tcPr>
            <w:tcW w:w="295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leftChars="0" w:right="0" w:rightChars="0" w:firstLine="0" w:firstLineChars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未经复议直接起诉</w:t>
            </w:r>
          </w:p>
        </w:tc>
        <w:tc>
          <w:tcPr>
            <w:tcW w:w="295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leftChars="0" w:right="0" w:rightChars="0" w:firstLine="0" w:firstLineChars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复议后起诉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59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</w:p>
        </w:tc>
        <w:tc>
          <w:tcPr>
            <w:tcW w:w="59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</w:p>
        </w:tc>
        <w:tc>
          <w:tcPr>
            <w:tcW w:w="5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</w:p>
        </w:tc>
        <w:tc>
          <w:tcPr>
            <w:tcW w:w="5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</w:p>
        </w:tc>
        <w:tc>
          <w:tcPr>
            <w:tcW w:w="5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</w:p>
        </w:tc>
        <w:tc>
          <w:tcPr>
            <w:tcW w:w="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leftChars="0" w:right="0" w:rightChars="0" w:firstLine="0" w:firstLineChars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维持</w:t>
            </w:r>
          </w:p>
        </w:tc>
        <w:tc>
          <w:tcPr>
            <w:tcW w:w="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leftChars="0" w:right="0" w:rightChars="0" w:firstLine="0" w:firstLineChars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5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其他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leftChars="0" w:right="0" w:rightChars="0" w:firstLine="0" w:firstLineChars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尚未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leftChars="0" w:right="0" w:rightChars="0" w:firstLine="0" w:firstLineChars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5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leftChars="0" w:right="0" w:rightChars="0" w:firstLine="0" w:firstLineChars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  <w:tc>
          <w:tcPr>
            <w:tcW w:w="5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leftChars="0" w:right="0" w:rightChars="0" w:firstLine="0" w:firstLineChars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维持</w:t>
            </w:r>
          </w:p>
        </w:tc>
        <w:tc>
          <w:tcPr>
            <w:tcW w:w="5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leftChars="0" w:right="0" w:rightChars="0" w:firstLine="0" w:firstLineChars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5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其他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leftChars="0" w:right="0" w:rightChars="0" w:firstLine="0" w:firstLineChars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5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尚未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leftChars="0" w:right="0" w:rightChars="0" w:firstLine="0" w:firstLineChars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leftChars="0" w:right="0" w:rightChars="0" w:firstLine="0" w:firstLineChars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leftChars="0" w:right="0" w:rightChars="0" w:firstLine="0" w:firstLineChars="0"/>
              <w:jc w:val="center"/>
            </w:pPr>
            <w:r>
              <w:rPr>
                <w:rFonts w:hint="eastAsia" w:ascii="黑体" w:hAnsi="宋体" w:eastAsia="黑体" w:cs="黑体"/>
                <w:color w:val="333333"/>
                <w:kern w:val="2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leftChars="0" w:right="0" w:rightChars="0" w:firstLine="0" w:firstLineChars="0"/>
              <w:jc w:val="center"/>
            </w:pPr>
            <w:r>
              <w:rPr>
                <w:rFonts w:hint="eastAsia" w:ascii="黑体" w:hAnsi="宋体" w:eastAsia="黑体" w:cs="黑体"/>
                <w:color w:val="333333"/>
                <w:kern w:val="2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leftChars="0" w:right="0" w:rightChars="0" w:firstLine="0" w:firstLineChars="0"/>
              <w:jc w:val="center"/>
            </w:pPr>
            <w:r>
              <w:rPr>
                <w:rFonts w:hint="eastAsia" w:ascii="黑体" w:hAnsi="宋体" w:eastAsia="黑体" w:cs="黑体"/>
                <w:color w:val="333333"/>
                <w:kern w:val="2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leftChars="0" w:right="0" w:rightChars="0" w:firstLine="0" w:firstLineChars="0"/>
              <w:jc w:val="center"/>
            </w:pPr>
            <w:r>
              <w:rPr>
                <w:rFonts w:hint="eastAsia" w:ascii="黑体" w:hAnsi="宋体" w:eastAsia="黑体" w:cs="黑体"/>
                <w:color w:val="333333"/>
                <w:kern w:val="2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leftChars="0" w:right="0" w:rightChars="0" w:firstLine="0" w:firstLineChars="0"/>
              <w:jc w:val="center"/>
            </w:pPr>
            <w:r>
              <w:rPr>
                <w:rFonts w:hint="eastAsia" w:ascii="黑体" w:hAnsi="宋体" w:eastAsia="黑体" w:cs="黑体"/>
                <w:color w:val="333333"/>
                <w:kern w:val="2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leftChars="0" w:right="0" w:rightChars="0" w:firstLine="0" w:firstLineChars="0"/>
              <w:jc w:val="center"/>
            </w:pPr>
            <w:r>
              <w:rPr>
                <w:rFonts w:hint="eastAsia" w:ascii="黑体" w:hAnsi="宋体" w:eastAsia="黑体" w:cs="黑体"/>
                <w:color w:val="333333"/>
                <w:kern w:val="2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leftChars="0" w:right="0" w:rightChars="0" w:firstLine="0" w:firstLineChars="0"/>
              <w:jc w:val="center"/>
            </w:pPr>
            <w:r>
              <w:rPr>
                <w:rFonts w:hint="eastAsia" w:ascii="黑体" w:hAnsi="宋体" w:eastAsia="黑体" w:cs="黑体"/>
                <w:color w:val="333333"/>
                <w:kern w:val="2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5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leftChars="0" w:right="0" w:rightChars="0" w:firstLine="0" w:firstLineChars="0"/>
              <w:jc w:val="center"/>
            </w:pPr>
            <w:r>
              <w:rPr>
                <w:rFonts w:hint="eastAsia" w:ascii="黑体" w:hAnsi="宋体" w:eastAsia="黑体" w:cs="黑体"/>
                <w:color w:val="333333"/>
                <w:kern w:val="2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leftChars="0" w:right="0" w:rightChars="0" w:firstLine="0" w:firstLineChars="0"/>
              <w:jc w:val="center"/>
            </w:pPr>
            <w:r>
              <w:rPr>
                <w:rFonts w:hint="eastAsia" w:ascii="黑体" w:hAnsi="宋体" w:eastAsia="黑体" w:cs="黑体"/>
                <w:color w:val="333333"/>
                <w:kern w:val="2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5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leftChars="0" w:right="0" w:rightChars="0" w:firstLine="0" w:firstLineChars="0"/>
              <w:jc w:val="center"/>
            </w:pPr>
            <w:r>
              <w:rPr>
                <w:rFonts w:hint="eastAsia" w:ascii="黑体" w:hAnsi="宋体" w:eastAsia="黑体" w:cs="黑体"/>
                <w:color w:val="333333"/>
                <w:kern w:val="2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5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leftChars="0" w:right="0" w:rightChars="0" w:firstLine="0" w:firstLineChars="0"/>
              <w:jc w:val="center"/>
            </w:pPr>
            <w:r>
              <w:rPr>
                <w:rFonts w:hint="eastAsia" w:ascii="黑体" w:hAnsi="宋体" w:eastAsia="黑体" w:cs="黑体"/>
                <w:color w:val="333333"/>
                <w:kern w:val="2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5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leftChars="0" w:right="0" w:rightChars="0" w:firstLine="0" w:firstLineChars="0"/>
              <w:jc w:val="center"/>
            </w:pPr>
            <w:r>
              <w:rPr>
                <w:rFonts w:hint="eastAsia" w:ascii="黑体" w:hAnsi="宋体" w:eastAsia="黑体" w:cs="黑体"/>
                <w:color w:val="333333"/>
                <w:kern w:val="2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5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leftChars="0" w:right="0" w:rightChars="0" w:firstLine="0" w:firstLineChars="0"/>
              <w:jc w:val="center"/>
            </w:pPr>
            <w:r>
              <w:rPr>
                <w:rFonts w:hint="eastAsia" w:ascii="黑体" w:hAnsi="宋体" w:eastAsia="黑体" w:cs="黑体"/>
                <w:color w:val="333333"/>
                <w:kern w:val="2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5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leftChars="0" w:right="0" w:rightChars="0" w:firstLine="0" w:firstLineChars="0"/>
              <w:jc w:val="center"/>
            </w:pPr>
            <w:r>
              <w:rPr>
                <w:rFonts w:hint="eastAsia" w:ascii="黑体" w:hAnsi="宋体" w:eastAsia="黑体" w:cs="黑体"/>
                <w:color w:val="333333"/>
                <w:kern w:val="2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333333"/>
                <w:kern w:val="2"/>
                <w:sz w:val="20"/>
                <w:szCs w:val="20"/>
                <w:lang w:val="en-US" w:eastAsia="zh-CN" w:bidi="ar"/>
              </w:rPr>
              <w:t>0</w:t>
            </w:r>
          </w:p>
        </w:tc>
      </w:tr>
    </w:tbl>
    <w:p>
      <w:pPr>
        <w:spacing w:line="580" w:lineRule="exact"/>
        <w:ind w:firstLine="640" w:firstLineChars="200"/>
        <w:rPr>
          <w:rFonts w:hint="eastAsia" w:ascii="黑体" w:hAnsi="仿宋_GB2312" w:eastAsia="黑体"/>
          <w:sz w:val="32"/>
        </w:rPr>
      </w:pPr>
      <w:r>
        <w:rPr>
          <w:rFonts w:hint="eastAsia" w:ascii="黑体" w:hAnsi="仿宋_GB2312" w:eastAsia="黑体"/>
          <w:sz w:val="32"/>
        </w:rPr>
        <w:t>五、存在的主要问题及改进情况</w:t>
      </w:r>
    </w:p>
    <w:p>
      <w:pPr>
        <w:widowControl/>
        <w:spacing w:line="580" w:lineRule="exact"/>
        <w:ind w:firstLine="640"/>
        <w:rPr>
          <w:rFonts w:hint="eastAsia"/>
          <w:sz w:val="32"/>
          <w:szCs w:val="32"/>
          <w:highlight w:val="none"/>
          <w:lang w:eastAsia="zh-CN"/>
        </w:rPr>
      </w:pPr>
      <w:r>
        <w:rPr>
          <w:rFonts w:hint="eastAsia" w:ascii="仿宋_GB2312" w:eastAsia="仿宋_GB2312"/>
          <w:b/>
          <w:bCs/>
          <w:snapToGrid w:val="0"/>
          <w:spacing w:val="-4"/>
          <w:sz w:val="32"/>
          <w:szCs w:val="32"/>
          <w:highlight w:val="none"/>
          <w:lang w:eastAsia="zh-CN"/>
        </w:rPr>
        <w:t>一是</w:t>
      </w:r>
      <w:r>
        <w:rPr>
          <w:rFonts w:hint="eastAsia" w:ascii="仿宋_GB2312" w:eastAsia="仿宋_GB2312"/>
          <w:snapToGrid w:val="0"/>
          <w:spacing w:val="-4"/>
          <w:sz w:val="32"/>
          <w:szCs w:val="32"/>
          <w:highlight w:val="none"/>
          <w:lang w:eastAsia="zh-CN"/>
        </w:rPr>
        <w:t>栏目设置有待进一步优化。</w:t>
      </w:r>
      <w:r>
        <w:rPr>
          <w:rFonts w:hint="eastAsia" w:ascii="仿宋_GB2312" w:eastAsia="仿宋_GB2312"/>
          <w:b/>
          <w:bCs/>
          <w:snapToGrid w:val="0"/>
          <w:spacing w:val="-4"/>
          <w:sz w:val="32"/>
          <w:szCs w:val="32"/>
          <w:highlight w:val="none"/>
          <w:lang w:eastAsia="zh-CN"/>
        </w:rPr>
        <w:t>二是</w:t>
      </w:r>
      <w:r>
        <w:rPr>
          <w:rFonts w:hint="eastAsia" w:ascii="仿宋_GB2312" w:eastAsia="仿宋_GB2312"/>
          <w:snapToGrid w:val="0"/>
          <w:spacing w:val="-4"/>
          <w:sz w:val="32"/>
          <w:szCs w:val="32"/>
          <w:highlight w:val="none"/>
          <w:lang w:eastAsia="zh-CN"/>
        </w:rPr>
        <w:t>主动公开内容有待扩面。</w:t>
      </w:r>
      <w:r>
        <w:rPr>
          <w:rFonts w:hint="eastAsia" w:ascii="仿宋_GB2312" w:eastAsia="仿宋_GB2312"/>
          <w:b/>
          <w:bCs/>
          <w:snapToGrid w:val="0"/>
          <w:spacing w:val="-4"/>
          <w:sz w:val="32"/>
          <w:szCs w:val="32"/>
          <w:highlight w:val="none"/>
          <w:lang w:eastAsia="zh-CN"/>
        </w:rPr>
        <w:t>三是</w:t>
      </w:r>
      <w:r>
        <w:rPr>
          <w:rFonts w:hint="eastAsia" w:ascii="仿宋_GB2312" w:eastAsia="仿宋_GB2312"/>
          <w:snapToGrid w:val="0"/>
          <w:spacing w:val="-4"/>
          <w:sz w:val="32"/>
          <w:szCs w:val="32"/>
          <w:highlight w:val="none"/>
          <w:lang w:eastAsia="zh-CN"/>
        </w:rPr>
        <w:t>信息公开的及时性有待提高。针对上述问题，局办加强组织协调，落实督促检查，进一步保障信息公开的完整性、及时性、准确性和规范性。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b w:val="0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color w:val="auto"/>
          <w:sz w:val="32"/>
          <w:szCs w:val="32"/>
          <w:lang w:val="en-US" w:eastAsia="zh-CN"/>
        </w:rPr>
        <w:t>六、其他需要报告的事项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color w:val="auto"/>
          <w:kern w:val="0"/>
          <w:sz w:val="32"/>
          <w:szCs w:val="32"/>
          <w:lang w:val="en-US" w:eastAsia="zh-CN" w:bidi="ar"/>
        </w:rPr>
        <w:t>本年度无其他需要报告的事项。</w:t>
      </w:r>
    </w:p>
    <w:sectPr>
      <w:pgSz w:w="11906" w:h="16838"/>
      <w:pgMar w:top="1644" w:right="1531" w:bottom="1417" w:left="1531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9F4C84"/>
    <w:rsid w:val="001829F7"/>
    <w:rsid w:val="01713EF8"/>
    <w:rsid w:val="04C76137"/>
    <w:rsid w:val="052E519A"/>
    <w:rsid w:val="06A32363"/>
    <w:rsid w:val="0BB13027"/>
    <w:rsid w:val="0DFF72CA"/>
    <w:rsid w:val="0E100F0B"/>
    <w:rsid w:val="111560F0"/>
    <w:rsid w:val="16747D07"/>
    <w:rsid w:val="183202BA"/>
    <w:rsid w:val="1ACB7B9E"/>
    <w:rsid w:val="1F6D31A6"/>
    <w:rsid w:val="23624510"/>
    <w:rsid w:val="250B781F"/>
    <w:rsid w:val="25B5744F"/>
    <w:rsid w:val="265045E4"/>
    <w:rsid w:val="2A8F15B8"/>
    <w:rsid w:val="2B453C7F"/>
    <w:rsid w:val="2F0A34FB"/>
    <w:rsid w:val="30D96BD0"/>
    <w:rsid w:val="31E4505A"/>
    <w:rsid w:val="340361DE"/>
    <w:rsid w:val="359900A2"/>
    <w:rsid w:val="384D7D4D"/>
    <w:rsid w:val="3D321D80"/>
    <w:rsid w:val="3D4B57D7"/>
    <w:rsid w:val="3F423F3C"/>
    <w:rsid w:val="41796407"/>
    <w:rsid w:val="43AB1913"/>
    <w:rsid w:val="44950BE4"/>
    <w:rsid w:val="46FB343D"/>
    <w:rsid w:val="48585198"/>
    <w:rsid w:val="56FD3281"/>
    <w:rsid w:val="5E094C4C"/>
    <w:rsid w:val="5F3326B7"/>
    <w:rsid w:val="604445CB"/>
    <w:rsid w:val="64FB3583"/>
    <w:rsid w:val="65FD68CD"/>
    <w:rsid w:val="67CC335D"/>
    <w:rsid w:val="681E73A1"/>
    <w:rsid w:val="6AF506E1"/>
    <w:rsid w:val="71045E7E"/>
    <w:rsid w:val="73A20472"/>
    <w:rsid w:val="74995F15"/>
    <w:rsid w:val="75727C4B"/>
    <w:rsid w:val="799F4C84"/>
    <w:rsid w:val="7A0F4C83"/>
    <w:rsid w:val="7BA81C70"/>
    <w:rsid w:val="7BCC1C52"/>
    <w:rsid w:val="7C8467FF"/>
    <w:rsid w:val="7E45436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unhideWhenUsed/>
    <w:qFormat/>
    <w:uiPriority w:val="99"/>
    <w:pPr>
      <w:spacing w:after="0" w:line="300" w:lineRule="auto"/>
      <w:ind w:left="0" w:leftChars="0"/>
    </w:pPr>
    <w:rPr>
      <w:rFonts w:hint="default" w:ascii="Calibri" w:hAnsi="Calibri"/>
      <w:i/>
      <w:sz w:val="21"/>
    </w:rPr>
  </w:style>
  <w:style w:type="paragraph" w:styleId="3">
    <w:name w:val="Body Text Indent"/>
    <w:basedOn w:val="1"/>
    <w:unhideWhenUsed/>
    <w:qFormat/>
    <w:uiPriority w:val="99"/>
    <w:pPr>
      <w:spacing w:after="120"/>
      <w:ind w:left="420" w:leftChars="200"/>
    </w:pPr>
    <w:rPr>
      <w:rFonts w:hint="default"/>
      <w:sz w:val="21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FollowedHyperlink"/>
    <w:basedOn w:val="6"/>
    <w:qFormat/>
    <w:uiPriority w:val="0"/>
    <w:rPr>
      <w:color w:val="333333"/>
      <w:u w:val="single"/>
    </w:rPr>
  </w:style>
  <w:style w:type="character" w:styleId="9">
    <w:name w:val="Hyperlink"/>
    <w:basedOn w:val="6"/>
    <w:qFormat/>
    <w:uiPriority w:val="0"/>
    <w:rPr>
      <w:color w:val="333333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2020-01-16T01:56:00Z</dcterms:created>
  <dc:creator>鱼射手</dc:creator>
  <cp:lastModifiedBy>三块石头先森</cp:lastModifiedBy>
  <cp:lastPrinted>2021-01-14T01:59:00Z</cp:lastPrinted>
  <dcterms:modified xsi:type="dcterms:W3CDTF">2022-01-21T06:52:34Z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EDA6821D56914680A62803CC48F36F9C</vt:lpwstr>
  </property>
</Properties>
</file>