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60" w:lineRule="exact"/>
        <w:jc w:val="center"/>
        <w:rPr>
          <w:rFonts w:hint="eastAsia" w:ascii="方正小标宋简体" w:eastAsia="方正小标宋简体"/>
          <w:kern w:val="0"/>
          <w:sz w:val="44"/>
          <w:szCs w:val="44"/>
        </w:rPr>
      </w:pPr>
      <w:r>
        <w:rPr>
          <w:rFonts w:hint="eastAsia" w:ascii="方正小标宋简体" w:eastAsia="方正小标宋简体"/>
          <w:kern w:val="0"/>
          <w:sz w:val="44"/>
          <w:szCs w:val="44"/>
        </w:rPr>
        <w:t>宁波市</w:t>
      </w:r>
      <w:r>
        <w:rPr>
          <w:rFonts w:hint="eastAsia" w:ascii="方正小标宋简体" w:eastAsia="方正小标宋简体"/>
          <w:kern w:val="0"/>
          <w:sz w:val="44"/>
          <w:szCs w:val="44"/>
          <w:lang w:eastAsia="zh-CN"/>
        </w:rPr>
        <w:t>北仑</w:t>
      </w:r>
      <w:bookmarkStart w:id="0" w:name="_GoBack"/>
      <w:bookmarkEnd w:id="0"/>
      <w:r>
        <w:rPr>
          <w:rFonts w:hint="eastAsia" w:ascii="方正小标宋简体" w:eastAsia="方正小标宋简体"/>
          <w:kern w:val="0"/>
          <w:sz w:val="44"/>
          <w:szCs w:val="44"/>
        </w:rPr>
        <w:t>区</w:t>
      </w:r>
      <w:r>
        <w:rPr>
          <w:rFonts w:hint="eastAsia" w:ascii="方正小标宋简体" w:eastAsia="方正小标宋简体"/>
          <w:kern w:val="0"/>
          <w:sz w:val="44"/>
          <w:szCs w:val="44"/>
          <w:lang w:eastAsia="zh-CN"/>
        </w:rPr>
        <w:t>中国人民银行北仑支行</w:t>
      </w:r>
    </w:p>
    <w:p>
      <w:pPr>
        <w:spacing w:line="560" w:lineRule="exact"/>
        <w:jc w:val="center"/>
        <w:outlineLvl w:val="0"/>
        <w:rPr>
          <w:rFonts w:hint="eastAsia" w:ascii="方正小标宋简体" w:eastAsia="方正小标宋简体"/>
          <w:kern w:val="0"/>
          <w:sz w:val="44"/>
          <w:szCs w:val="44"/>
        </w:rPr>
      </w:pPr>
      <w:r>
        <w:rPr>
          <w:rFonts w:hint="eastAsia" w:ascii="方正小标宋简体" w:eastAsia="方正小标宋简体"/>
          <w:kern w:val="0"/>
          <w:sz w:val="44"/>
          <w:szCs w:val="44"/>
        </w:rPr>
        <w:t>202</w:t>
      </w:r>
      <w:r>
        <w:rPr>
          <w:rFonts w:hint="eastAsia" w:ascii="方正小标宋简体" w:eastAsia="方正小标宋简体"/>
          <w:kern w:val="0"/>
          <w:sz w:val="44"/>
          <w:szCs w:val="44"/>
          <w:lang w:val="en-US" w:eastAsia="zh-CN"/>
        </w:rPr>
        <w:t>2</w:t>
      </w:r>
      <w:r>
        <w:rPr>
          <w:rFonts w:hint="eastAsia" w:ascii="方正小标宋简体" w:eastAsia="方正小标宋简体"/>
          <w:kern w:val="0"/>
          <w:sz w:val="44"/>
          <w:szCs w:val="44"/>
        </w:rPr>
        <w:t>年度政府信息公开工作年度报告</w:t>
      </w:r>
    </w:p>
    <w:p>
      <w:pPr>
        <w:spacing w:line="560" w:lineRule="exact"/>
        <w:jc w:val="center"/>
        <w:outlineLvl w:val="0"/>
        <w:rPr>
          <w:rFonts w:hint="eastAsia" w:ascii="方正小标宋简体" w:eastAsia="方正小标宋简体"/>
          <w:kern w:val="0"/>
          <w:sz w:val="44"/>
          <w:szCs w:val="44"/>
          <w:lang w:eastAsia="zh-CN"/>
        </w:rPr>
      </w:pPr>
    </w:p>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Times New Roman" w:hAnsi="Times New Roman" w:cs="Times New Roman"/>
          <w:szCs w:val="32"/>
          <w:lang w:val="en-US" w:eastAsia="zh-CN"/>
        </w:rPr>
        <w:t>编制说明：本年度报告根据《中华人民共和国政府信息公开条例》（国务院令第711号）和</w:t>
      </w:r>
      <w:r>
        <w:rPr>
          <w:rFonts w:hint="eastAsia"/>
          <w:spacing w:val="-4"/>
          <w:kern w:val="2"/>
          <w:lang w:val="en-US" w:eastAsia="zh-CN"/>
        </w:rPr>
        <w:t>《国务院办公厅政府信息与政务公开办公室关于印发中华人民共和国政府信息公开工作年度报告格式的通知》（国办公开办函〔2021〕30号</w:t>
      </w:r>
      <w:r>
        <w:rPr>
          <w:rFonts w:hint="eastAsia" w:ascii="仿宋_GB2312" w:hAnsi="仿宋_GB2312" w:cs="仿宋_GB2312"/>
          <w:sz w:val="32"/>
          <w:szCs w:val="32"/>
          <w:lang w:val="en-US" w:eastAsia="zh-CN"/>
        </w:rPr>
        <w:t>）</w:t>
      </w:r>
      <w:r>
        <w:rPr>
          <w:rFonts w:hint="eastAsia" w:ascii="Times New Roman" w:hAnsi="Times New Roman" w:cs="Times New Roman"/>
          <w:szCs w:val="32"/>
          <w:lang w:val="en-US" w:eastAsia="zh-CN"/>
        </w:rPr>
        <w:t>要求，结合</w:t>
      </w:r>
      <w:r>
        <w:rPr>
          <w:rFonts w:hint="eastAsia" w:cs="Times New Roman"/>
          <w:szCs w:val="32"/>
          <w:lang w:val="en-US" w:eastAsia="zh-CN"/>
        </w:rPr>
        <w:t>中国人民银行北仑支行</w:t>
      </w:r>
      <w:r>
        <w:rPr>
          <w:rFonts w:hint="eastAsia" w:ascii="Times New Roman" w:hAnsi="Times New Roman" w:cs="Times New Roman"/>
          <w:szCs w:val="32"/>
          <w:lang w:val="en-US" w:eastAsia="zh-CN"/>
        </w:rPr>
        <w:t>20</w:t>
      </w:r>
      <w:r>
        <w:rPr>
          <w:rFonts w:hint="eastAsia" w:cs="Times New Roman"/>
          <w:szCs w:val="32"/>
          <w:lang w:val="en-US" w:eastAsia="zh-CN"/>
        </w:rPr>
        <w:t>22</w:t>
      </w:r>
      <w:r>
        <w:rPr>
          <w:rFonts w:hint="eastAsia" w:ascii="Times New Roman" w:hAnsi="Times New Roman" w:cs="Times New Roman"/>
          <w:szCs w:val="32"/>
          <w:lang w:val="en-US" w:eastAsia="zh-CN"/>
        </w:rPr>
        <w:t>年度政府信息公开工作实际编制。全文包含</w:t>
      </w:r>
      <w:r>
        <w:rPr>
          <w:rFonts w:hint="eastAsia"/>
          <w:spacing w:val="-4"/>
          <w:kern w:val="2"/>
          <w:lang w:val="en-US" w:eastAsia="zh-CN"/>
        </w:rPr>
        <w:t>总体情况、主动公开政府信息情况、收到和处理政府信息公开申请情况、政府信息公开行政复议和行政诉讼情况、存在的主要问题及改进情况、其他需要报告的事项</w:t>
      </w:r>
      <w:r>
        <w:rPr>
          <w:rFonts w:hint="eastAsia" w:ascii="Times New Roman" w:hAnsi="Times New Roman" w:cs="Times New Roman"/>
          <w:szCs w:val="32"/>
          <w:lang w:val="en-US" w:eastAsia="zh-CN"/>
        </w:rPr>
        <w:t>五个方面。</w:t>
      </w:r>
      <w:r>
        <w:rPr>
          <w:rFonts w:hint="eastAsia" w:ascii="Times New Roman" w:hAnsi="Times New Roman" w:cs="Times New Roman"/>
          <w:szCs w:val="32"/>
          <w:lang w:eastAsia="zh-CN"/>
        </w:rPr>
        <w:t>本报告中所列数据的统计期限从20</w:t>
      </w:r>
      <w:r>
        <w:rPr>
          <w:rFonts w:hint="eastAsia" w:cs="Times New Roman"/>
          <w:szCs w:val="32"/>
          <w:lang w:val="en-US" w:eastAsia="zh-CN"/>
        </w:rPr>
        <w:t>22</w:t>
      </w:r>
      <w:r>
        <w:rPr>
          <w:rFonts w:hint="eastAsia" w:ascii="Times New Roman" w:hAnsi="Times New Roman" w:cs="Times New Roman"/>
          <w:szCs w:val="32"/>
          <w:lang w:eastAsia="zh-CN"/>
        </w:rPr>
        <w:t>年1月1日到1</w:t>
      </w:r>
      <w:r>
        <w:rPr>
          <w:rFonts w:hint="eastAsia" w:ascii="Times New Roman" w:hAnsi="Times New Roman" w:cs="Times New Roman"/>
          <w:szCs w:val="32"/>
          <w:lang w:val="en-US" w:eastAsia="zh-CN"/>
        </w:rPr>
        <w:t>2</w:t>
      </w:r>
      <w:r>
        <w:rPr>
          <w:rFonts w:hint="eastAsia" w:ascii="Times New Roman" w:hAnsi="Times New Roman" w:cs="Times New Roman"/>
          <w:szCs w:val="32"/>
          <w:lang w:eastAsia="zh-CN"/>
        </w:rPr>
        <w:t>月31日止。如对本报告所涉内容有咨询或疑问，请与中国人民银行北仑支行办公室联系（地址：宁波市北仑区明州西路</w:t>
      </w:r>
      <w:r>
        <w:rPr>
          <w:rFonts w:hint="eastAsia" w:ascii="Times New Roman" w:hAnsi="Times New Roman" w:cs="Times New Roman"/>
          <w:szCs w:val="32"/>
          <w:lang w:val="en-US" w:eastAsia="zh-CN"/>
        </w:rPr>
        <w:t>185号金贸大厦四楼政务公开办公室</w:t>
      </w:r>
      <w:r>
        <w:rPr>
          <w:rFonts w:hint="eastAsia" w:ascii="Times New Roman" w:hAnsi="Times New Roman" w:cs="Times New Roman"/>
          <w:szCs w:val="32"/>
          <w:lang w:eastAsia="zh-CN"/>
        </w:rPr>
        <w:t>，邮编：315</w:t>
      </w:r>
      <w:r>
        <w:rPr>
          <w:rFonts w:hint="eastAsia" w:ascii="Times New Roman" w:hAnsi="Times New Roman" w:cs="Times New Roman"/>
          <w:szCs w:val="32"/>
          <w:lang w:val="en-US" w:eastAsia="zh-CN"/>
        </w:rPr>
        <w:t>899,</w:t>
      </w:r>
      <w:r>
        <w:rPr>
          <w:rFonts w:hint="eastAsia" w:ascii="Times New Roman" w:hAnsi="Times New Roman" w:cs="Times New Roman"/>
          <w:szCs w:val="32"/>
          <w:lang w:eastAsia="zh-CN"/>
        </w:rPr>
        <w:t>电话:0574-</w:t>
      </w:r>
      <w:r>
        <w:rPr>
          <w:rFonts w:hint="eastAsia" w:ascii="Times New Roman" w:hAnsi="Times New Roman" w:cs="Times New Roman"/>
          <w:szCs w:val="32"/>
          <w:lang w:val="en-US" w:eastAsia="zh-CN"/>
        </w:rPr>
        <w:t>86961253</w:t>
      </w:r>
      <w:r>
        <w:rPr>
          <w:rFonts w:hint="eastAsia" w:ascii="Times New Roman" w:hAnsi="Times New Roman" w:cs="Times New Roman"/>
          <w:szCs w:val="32"/>
          <w:lang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黑体" w:hAnsi="黑体" w:eastAsia="黑体" w:cs="Times New Roman"/>
          <w:szCs w:val="32"/>
        </w:rPr>
      </w:pPr>
      <w:r>
        <w:rPr>
          <w:rFonts w:hint="eastAsia" w:ascii="黑体" w:hAnsi="黑体" w:eastAsia="黑体" w:cs="Times New Roman"/>
          <w:szCs w:val="32"/>
        </w:rPr>
        <w:t>一、总体情况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spacing w:val="-4"/>
          <w:kern w:val="2"/>
          <w:lang w:val="en-US" w:eastAsia="zh-CN"/>
        </w:rPr>
      </w:pPr>
      <w:r>
        <w:rPr>
          <w:rFonts w:hint="eastAsia"/>
          <w:spacing w:val="-4"/>
          <w:kern w:val="2"/>
          <w:lang w:val="en-US" w:eastAsia="zh-CN"/>
        </w:rPr>
        <w:t>2022年，中国人民银行北仑支行坚持以习近平新时代中国特色社会主义思想为指导，深入贯彻落实党中央、国务院关于政务公开工作的决策部署，按照中国人民银行政务公开工作要求，认真贯彻实施《中华人民共和国政府信息公开条例》，紧紧围绕中心工作和公众需求，着力深化公开内容、加强宣传解读、回应社会关切，推进政务公开工作质量不断提升。现将政府信息公开工作汇报如下：</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（一）主动公开情况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Times New Roman" w:hAnsi="Times New Roman" w:cs="Times New Roman"/>
          <w:szCs w:val="32"/>
          <w:lang w:val="en-US" w:eastAsia="zh-CN"/>
        </w:rPr>
      </w:pPr>
      <w:r>
        <w:rPr>
          <w:rFonts w:hint="eastAsia" w:ascii="Times New Roman" w:hAnsi="Times New Roman" w:cs="Times New Roman"/>
          <w:szCs w:val="32"/>
          <w:lang w:eastAsia="zh-CN"/>
        </w:rPr>
        <w:t>主动公开政府信息</w:t>
      </w:r>
      <w:r>
        <w:rPr>
          <w:rFonts w:hint="eastAsia" w:cs="Times New Roman"/>
          <w:szCs w:val="32"/>
          <w:lang w:val="en-US" w:eastAsia="zh-CN"/>
        </w:rPr>
        <w:t>1855</w:t>
      </w:r>
      <w:r>
        <w:rPr>
          <w:rFonts w:hint="eastAsia" w:ascii="Times New Roman" w:hAnsi="Times New Roman" w:cs="Times New Roman"/>
          <w:szCs w:val="32"/>
          <w:lang w:eastAsia="zh-CN"/>
        </w:rPr>
        <w:t>条（不同渠道和方式公开相同信息计1条），</w:t>
      </w:r>
      <w:r>
        <w:rPr>
          <w:rFonts w:hint="eastAsia" w:cs="Times New Roman"/>
          <w:szCs w:val="32"/>
          <w:lang w:eastAsia="zh-CN"/>
        </w:rPr>
        <w:t>全部通过政府网站公开</w:t>
      </w:r>
      <w:r>
        <w:rPr>
          <w:rFonts w:hint="eastAsia" w:ascii="Times New Roman" w:hAnsi="Times New Roman" w:cs="Times New Roman"/>
          <w:szCs w:val="32"/>
          <w:lang w:val="en-US"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（二）依申请公开情况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Times New Roman" w:hAnsi="Times New Roman" w:eastAsia="仿宋_GB2312"/>
          <w:szCs w:val="32"/>
          <w:lang w:val="en-US" w:eastAsia="zh-CN"/>
        </w:rPr>
      </w:pPr>
      <w:r>
        <w:rPr>
          <w:rFonts w:hint="eastAsia"/>
          <w:szCs w:val="32"/>
          <w:lang w:eastAsia="zh-CN"/>
        </w:rPr>
        <w:t>本年度未</w:t>
      </w:r>
      <w:r>
        <w:rPr>
          <w:rFonts w:hint="eastAsia" w:ascii="Times New Roman" w:hAnsi="Times New Roman"/>
          <w:szCs w:val="32"/>
        </w:rPr>
        <w:t>受理依申请公开</w:t>
      </w:r>
      <w:r>
        <w:rPr>
          <w:rFonts w:hint="eastAsia" w:ascii="仿宋_GB2312" w:hAnsi="仿宋_GB2312" w:eastAsia="仿宋_GB2312" w:cs="仿宋_GB2312"/>
          <w:szCs w:val="32"/>
          <w:lang w:eastAsia="zh-CN"/>
        </w:rPr>
        <w:t>。</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（三）政府信息管理情况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cs="仿宋_GB2312"/>
          <w:szCs w:val="32"/>
          <w:lang w:val="en-US" w:eastAsia="zh-CN"/>
        </w:rPr>
      </w:pPr>
      <w:r>
        <w:rPr>
          <w:rFonts w:hint="eastAsia" w:ascii="仿宋_GB2312" w:hAnsi="仿宋_GB2312" w:eastAsia="仿宋_GB2312" w:cs="仿宋_GB2312"/>
          <w:szCs w:val="32"/>
          <w:lang w:eastAsia="zh-CN"/>
        </w:rPr>
        <w:t>聚焦</w:t>
      </w:r>
      <w:r>
        <w:rPr>
          <w:rFonts w:hint="eastAsia" w:ascii="仿宋_GB2312" w:hAnsi="仿宋_GB2312" w:cs="仿宋_GB2312"/>
          <w:szCs w:val="32"/>
          <w:lang w:eastAsia="zh-CN"/>
        </w:rPr>
        <w:t>人民银行账户许可公示、政务动态、行政处罚、办事指南、通知公告等事项定期进行公开，行政许可发生后按照</w:t>
      </w:r>
      <w:r>
        <w:rPr>
          <w:rFonts w:hint="eastAsia" w:ascii="仿宋_GB2312" w:hAnsi="仿宋_GB2312" w:cs="仿宋_GB2312"/>
          <w:szCs w:val="32"/>
          <w:lang w:val="en-US" w:eastAsia="zh-CN"/>
        </w:rPr>
        <w:t>3天内申请、7天内公示的要求进行公示，公示频率每周2次；行政处罚、办事指南、通知公告等发生后及时公开，并对机构概况、人事任免等进行定期维护。</w:t>
      </w:r>
      <w:r>
        <w:rPr>
          <w:rFonts w:hint="eastAsia" w:ascii="仿宋_GB2312" w:hAnsi="仿宋_GB2312" w:eastAsia="仿宋_GB2312" w:cs="仿宋_GB2312"/>
          <w:sz w:val="32"/>
          <w:lang w:val="en-US" w:eastAsia="zh-CN"/>
        </w:rPr>
        <w:t>对拟公开信息进行严格审查，</w:t>
      </w:r>
      <w:r>
        <w:rPr>
          <w:rFonts w:hint="eastAsia" w:ascii="仿宋_GB2312" w:hAnsi="仿宋_GB2312" w:cs="仿宋_GB2312"/>
          <w:szCs w:val="32"/>
          <w:lang w:val="en-US" w:eastAsia="zh-CN"/>
        </w:rPr>
        <w:t xml:space="preserve">由业务主办部门申请，经法律事务部门、保密工作部门、分管领导等审核，最后发布并复核。  </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（四）政府信息公开平台建设情况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cs="仿宋_GB2312"/>
          <w:snapToGrid w:val="0"/>
          <w:color w:val="000000"/>
          <w:spacing w:val="-4"/>
          <w:szCs w:val="32"/>
          <w:shd w:val="clear" w:color="auto" w:fill="FFFFFF"/>
          <w:lang w:val="en-US" w:eastAsia="zh-CN"/>
        </w:rPr>
      </w:pPr>
      <w:r>
        <w:rPr>
          <w:rFonts w:hint="eastAsia"/>
          <w:spacing w:val="-4"/>
          <w:kern w:val="2"/>
          <w:lang w:val="en-US" w:eastAsia="zh-CN"/>
        </w:rPr>
        <w:t>加强业务培训，根据工作实际需要，积极参加区政府组织的政务公开业务培训，并将培训内容及时传达至全行各科室。严格落实《中华人民共和国政府信息公开条例》，健全完善政务信息公开指南，优化指南基本框架，规范信息公开流程，为政务公开工作规范、有序、高效开展提供了制度保障。开展政务公开业务标准化建设，进一步明确政务公开业务岗位职责、工作流程、注意事项等，建立制度汇编、经验案例及工作流程图，细化支行政务公开各项工作具体牵头和责任落实部门，形成工作清单，做到任务具体，责任明确。</w:t>
      </w:r>
    </w:p>
    <w:p>
      <w:pPr>
        <w:widowControl/>
        <w:wordWrap/>
        <w:autoSpaceDE w:val="0"/>
        <w:adjustRightInd/>
        <w:snapToGrid/>
        <w:spacing w:line="560" w:lineRule="exact"/>
        <w:ind w:firstLine="632" w:firstLineChars="200"/>
        <w:textAlignment w:val="auto"/>
        <w:rPr>
          <w:rFonts w:hint="eastAsia" w:ascii="楷体_GB2312" w:hAnsi="楷体_GB2312" w:eastAsia="楷体_GB2312" w:cs="楷体_GB2312"/>
          <w:b/>
          <w:bCs/>
          <w:szCs w:val="32"/>
          <w:lang w:val="en-US" w:eastAsia="zh-CN"/>
        </w:rPr>
      </w:pPr>
      <w:r>
        <w:rPr>
          <w:rFonts w:hint="eastAsia" w:ascii="楷体_GB2312" w:hAnsi="楷体_GB2312" w:eastAsia="楷体_GB2312" w:cs="楷体_GB2312"/>
          <w:b/>
          <w:bCs/>
          <w:szCs w:val="32"/>
          <w:lang w:val="en-US" w:eastAsia="zh-CN"/>
        </w:rPr>
        <w:t>（五）监督保障方面</w:t>
      </w:r>
    </w:p>
    <w:p>
      <w:pPr>
        <w:pStyle w:val="6"/>
        <w:widowControl/>
        <w:spacing w:before="0" w:beforeAutospacing="0" w:after="0" w:afterAutospacing="0" w:line="560" w:lineRule="exact"/>
        <w:ind w:firstLine="632" w:firstLineChars="200"/>
        <w:jc w:val="both"/>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充分发挥</w:t>
      </w:r>
      <w:r>
        <w:rPr>
          <w:rFonts w:hint="eastAsia" w:ascii="仿宋_GB2312" w:hAnsi="仿宋_GB2312" w:cs="仿宋_GB2312"/>
          <w:sz w:val="32"/>
          <w:lang w:val="en-US" w:eastAsia="zh-CN"/>
        </w:rPr>
        <w:t>政务公开</w:t>
      </w:r>
      <w:r>
        <w:rPr>
          <w:rFonts w:hint="eastAsia" w:ascii="仿宋_GB2312" w:hAnsi="仿宋_GB2312" w:eastAsia="仿宋_GB2312" w:cs="仿宋_GB2312"/>
          <w:sz w:val="32"/>
          <w:lang w:val="en-US" w:eastAsia="zh-CN"/>
        </w:rPr>
        <w:t>领导小组的组织协调作用，分管领导统筹抓好部署，办公室牵头抓好组织实施，</w:t>
      </w:r>
      <w:r>
        <w:rPr>
          <w:rFonts w:hint="eastAsia" w:ascii="仿宋_GB2312" w:hAnsi="仿宋_GB2312"/>
          <w:sz w:val="32"/>
          <w:lang w:val="en-US" w:eastAsia="zh-CN"/>
        </w:rPr>
        <w:t>并指定</w:t>
      </w:r>
      <w:r>
        <w:rPr>
          <w:rFonts w:hint="eastAsia" w:ascii="仿宋_GB2312" w:hAnsi="仿宋_GB2312" w:cs="仿宋_GB2312"/>
          <w:szCs w:val="32"/>
          <w:lang w:val="en-US" w:eastAsia="zh-CN"/>
        </w:rPr>
        <w:t>专人负责</w:t>
      </w:r>
      <w:r>
        <w:rPr>
          <w:rFonts w:hint="default" w:ascii="仿宋_GB2312" w:hAnsi="仿宋_GB2312" w:eastAsia="仿宋_GB2312"/>
          <w:sz w:val="32"/>
          <w:lang w:val="en-US" w:eastAsia="zh-CN"/>
        </w:rPr>
        <w:t>政府信息公开</w:t>
      </w:r>
      <w:r>
        <w:rPr>
          <w:rFonts w:hint="eastAsia" w:ascii="仿宋_GB2312" w:hAnsi="仿宋_GB2312"/>
          <w:sz w:val="32"/>
          <w:lang w:val="en-US" w:eastAsia="zh-CN"/>
        </w:rPr>
        <w:t>平台</w:t>
      </w:r>
      <w:r>
        <w:rPr>
          <w:rFonts w:hint="default" w:ascii="仿宋_GB2312" w:hAnsi="仿宋_GB2312" w:eastAsia="仿宋_GB2312"/>
          <w:sz w:val="32"/>
          <w:lang w:val="en-US" w:eastAsia="zh-CN"/>
        </w:rPr>
        <w:t>的内容更新及维护等相关事宜</w:t>
      </w:r>
      <w:r>
        <w:rPr>
          <w:rFonts w:hint="eastAsia" w:ascii="仿宋_GB2312" w:hAnsi="仿宋_GB2312"/>
          <w:sz w:val="32"/>
          <w:lang w:val="en-US" w:eastAsia="zh-CN"/>
        </w:rPr>
        <w:t>，</w:t>
      </w:r>
      <w:r>
        <w:rPr>
          <w:rFonts w:hint="eastAsia" w:ascii="仿宋_GB2312" w:hAnsi="仿宋_GB2312" w:eastAsia="仿宋_GB2312" w:cs="仿宋_GB2312"/>
          <w:sz w:val="32"/>
          <w:lang w:val="en-US" w:eastAsia="zh-CN"/>
        </w:rPr>
        <w:t>各科室按照工作职责进行信息的收集整理，形成层级负责机制。同时，在政府信息公开网站上公开监督投诉电话，自觉接受社会群众监督</w:t>
      </w:r>
      <w:r>
        <w:rPr>
          <w:rFonts w:hint="eastAsia" w:ascii="仿宋_GB2312" w:hAnsi="仿宋_GB2312" w:cs="仿宋_GB2312"/>
          <w:sz w:val="32"/>
          <w:lang w:val="en-US" w:eastAsia="zh-CN"/>
        </w:rPr>
        <w:t>，</w:t>
      </w:r>
      <w:r>
        <w:rPr>
          <w:rFonts w:hint="eastAsia" w:ascii="仿宋_GB2312" w:hAnsi="仿宋_GB2312" w:eastAsia="仿宋_GB2312" w:cs="仿宋_GB2312"/>
          <w:sz w:val="32"/>
          <w:lang w:val="en-US" w:eastAsia="zh-CN"/>
        </w:rPr>
        <w:t>全年没有发生因政务公开工作被追究责任的情况。</w:t>
      </w:r>
    </w:p>
    <w:p>
      <w:pPr>
        <w:pStyle w:val="6"/>
        <w:widowControl/>
        <w:spacing w:before="0" w:beforeAutospacing="0" w:after="0" w:afterAutospacing="0" w:line="560" w:lineRule="exact"/>
        <w:ind w:firstLine="632" w:firstLineChars="200"/>
        <w:jc w:val="both"/>
        <w:rPr>
          <w:rFonts w:hint="eastAsia" w:ascii="黑体" w:hAnsi="黑体" w:eastAsia="黑体" w:cs="Times New Roman"/>
          <w:szCs w:val="32"/>
        </w:rPr>
      </w:pPr>
      <w:r>
        <w:rPr>
          <w:rFonts w:hint="eastAsia" w:ascii="黑体" w:hAnsi="黑体" w:eastAsia="黑体" w:cs="Times New Roman"/>
          <w:szCs w:val="32"/>
        </w:rPr>
        <w:t>二、主动公开政府信息情况</w:t>
      </w:r>
    </w:p>
    <w:tbl>
      <w:tblPr>
        <w:tblStyle w:val="9"/>
        <w:tblpPr w:leftFromText="180" w:rightFromText="180" w:vertAnchor="text" w:horzAnchor="page" w:tblpXSpec="center" w:tblpY="85"/>
        <w:tblOverlap w:val="never"/>
        <w:tblW w:w="92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53"/>
        <w:gridCol w:w="2435"/>
        <w:gridCol w:w="2435"/>
        <w:gridCol w:w="2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本年制发件数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本年废止件数</w:t>
            </w:r>
          </w:p>
        </w:tc>
        <w:tc>
          <w:tcPr>
            <w:tcW w:w="2398" w:type="dxa"/>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c>
          <w:tcPr>
            <w:tcW w:w="2398"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2398" w:type="dxa"/>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default" w:eastAsia="仿宋_GB2312"/>
                <w:kern w:val="0"/>
                <w:sz w:val="21"/>
                <w:szCs w:val="21"/>
                <w:lang w:val="en-US" w:eastAsia="zh-CN"/>
              </w:rPr>
            </w:pPr>
            <w:r>
              <w:rPr>
                <w:rFonts w:hint="eastAsia"/>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行政许可</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rFonts w:hint="default"/>
                <w:kern w:val="0"/>
                <w:sz w:val="21"/>
                <w:szCs w:val="21"/>
                <w:lang w:val="en-US"/>
              </w:rPr>
            </w:pPr>
            <w:r>
              <w:rPr>
                <w:rFonts w:hint="eastAsia"/>
                <w:kern w:val="0"/>
                <w:sz w:val="21"/>
                <w:szCs w:val="21"/>
                <w:lang w:val="en-US" w:eastAsia="zh-CN"/>
              </w:rPr>
              <w:t>1815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single" w:color="auto" w:sz="8" w:space="0"/>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行政处罚</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行政强制</w:t>
            </w:r>
          </w:p>
        </w:tc>
        <w:tc>
          <w:tcPr>
            <w:tcW w:w="7268" w:type="dxa"/>
            <w:gridSpan w:val="3"/>
            <w:tcBorders>
              <w:top w:val="nil"/>
              <w:left w:val="nil"/>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lang w:val="en-US" w:eastAsia="zh-CN"/>
              </w:rPr>
              <w:t>0</w:t>
            </w:r>
            <w:r>
              <w:rPr>
                <w:rFonts w:hint="eastAsia"/>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922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spacing w:line="300" w:lineRule="exact"/>
              <w:jc w:val="center"/>
              <w:rPr>
                <w:kern w:val="0"/>
                <w:sz w:val="21"/>
                <w:szCs w:val="21"/>
              </w:rPr>
            </w:pPr>
            <w:r>
              <w:rPr>
                <w:rFonts w:hint="eastAsia"/>
                <w:kern w:val="0"/>
                <w:sz w:val="21"/>
                <w:szCs w:val="21"/>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信息内容</w:t>
            </w:r>
          </w:p>
        </w:tc>
        <w:tc>
          <w:tcPr>
            <w:tcW w:w="7268" w:type="dxa"/>
            <w:gridSpan w:val="3"/>
            <w:tcBorders>
              <w:top w:val="nil"/>
              <w:left w:val="nil"/>
              <w:bottom w:val="single" w:color="auto" w:sz="8" w:space="0"/>
              <w:right w:val="single" w:color="000000"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953" w:type="dxa"/>
            <w:tcBorders>
              <w:top w:val="nil"/>
              <w:left w:val="single" w:color="auto" w:sz="8" w:space="0"/>
              <w:bottom w:val="single" w:color="auto" w:sz="8" w:space="0"/>
              <w:right w:val="single" w:color="auto" w:sz="8" w:space="0"/>
            </w:tcBorders>
            <w:tcMar>
              <w:left w:w="57" w:type="dxa"/>
              <w:right w:w="57" w:type="dxa"/>
            </w:tcMar>
            <w:vAlign w:val="center"/>
          </w:tcPr>
          <w:p>
            <w:pPr>
              <w:spacing w:line="300" w:lineRule="exact"/>
              <w:jc w:val="center"/>
              <w:rPr>
                <w:kern w:val="0"/>
                <w:sz w:val="21"/>
                <w:szCs w:val="21"/>
              </w:rPr>
            </w:pPr>
            <w:r>
              <w:rPr>
                <w:rFonts w:hint="eastAsia"/>
                <w:kern w:val="0"/>
                <w:sz w:val="21"/>
                <w:szCs w:val="21"/>
              </w:rPr>
              <w:t>行政事业性收费</w:t>
            </w:r>
          </w:p>
        </w:tc>
        <w:tc>
          <w:tcPr>
            <w:tcW w:w="7268" w:type="dxa"/>
            <w:gridSpan w:val="3"/>
            <w:tcBorders>
              <w:top w:val="nil"/>
              <w:left w:val="nil"/>
              <w:bottom w:val="single" w:color="auto" w:sz="8" w:space="0"/>
              <w:right w:val="single" w:color="000000" w:sz="8" w:space="0"/>
            </w:tcBorders>
            <w:tcMar>
              <w:left w:w="57" w:type="dxa"/>
              <w:right w:w="57" w:type="dxa"/>
            </w:tcMar>
            <w:vAlign w:val="center"/>
          </w:tcPr>
          <w:p>
            <w:pPr>
              <w:spacing w:line="300" w:lineRule="exact"/>
              <w:jc w:val="center"/>
              <w:rPr>
                <w:rFonts w:hint="eastAsia" w:eastAsia="仿宋_GB2312"/>
                <w:kern w:val="0"/>
                <w:sz w:val="21"/>
                <w:szCs w:val="21"/>
                <w:lang w:val="en-US" w:eastAsia="zh-CN"/>
              </w:rPr>
            </w:pPr>
            <w:r>
              <w:rPr>
                <w:rFonts w:hint="eastAsia"/>
                <w:kern w:val="0"/>
                <w:sz w:val="21"/>
                <w:szCs w:val="21"/>
                <w:lang w:val="en-US" w:eastAsia="zh-CN"/>
              </w:rPr>
              <w:t>0</w:t>
            </w:r>
          </w:p>
        </w:tc>
      </w:tr>
    </w:tbl>
    <w:p>
      <w:pPr>
        <w:pStyle w:val="6"/>
        <w:widowControl/>
        <w:spacing w:before="0" w:beforeAutospacing="0" w:after="0" w:afterAutospacing="0" w:line="560" w:lineRule="exact"/>
        <w:ind w:firstLine="632" w:firstLineChars="200"/>
        <w:jc w:val="both"/>
        <w:rPr>
          <w:rFonts w:hint="eastAsia" w:ascii="黑体" w:hAnsi="黑体" w:eastAsia="黑体" w:cs="Times New Roman"/>
          <w:szCs w:val="32"/>
        </w:rPr>
      </w:pPr>
      <w:r>
        <w:rPr>
          <w:rFonts w:hint="eastAsia" w:ascii="黑体" w:hAnsi="黑体" w:eastAsia="黑体" w:cs="Times New Roman"/>
          <w:szCs w:val="32"/>
        </w:rPr>
        <w:t>三、收到和处理政府信息公开申请情况</w:t>
      </w:r>
    </w:p>
    <w:tbl>
      <w:tblPr>
        <w:tblStyle w:val="9"/>
        <w:tblW w:w="928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85"/>
        <w:gridCol w:w="959"/>
        <w:gridCol w:w="2630"/>
        <w:gridCol w:w="642"/>
        <w:gridCol w:w="714"/>
        <w:gridCol w:w="714"/>
        <w:gridCol w:w="714"/>
        <w:gridCol w:w="714"/>
        <w:gridCol w:w="714"/>
        <w:gridCol w:w="7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restart"/>
            <w:tcMar>
              <w:left w:w="108" w:type="dxa"/>
              <w:right w:w="108" w:type="dxa"/>
            </w:tcMar>
            <w:vAlign w:val="center"/>
          </w:tcPr>
          <w:p>
            <w:pPr>
              <w:spacing w:line="240" w:lineRule="exact"/>
              <w:jc w:val="center"/>
              <w:rPr>
                <w:kern w:val="0"/>
                <w:sz w:val="21"/>
                <w:szCs w:val="21"/>
              </w:rPr>
            </w:pPr>
            <w:r>
              <w:rPr>
                <w:kern w:val="0"/>
                <w:sz w:val="21"/>
                <w:szCs w:val="21"/>
              </w:rPr>
              <w:t>（本列数据的勾稽关系为：第一项加第二项之和，等于第三项加第四项之和）</w:t>
            </w:r>
          </w:p>
        </w:tc>
        <w:tc>
          <w:tcPr>
            <w:tcW w:w="4913" w:type="dxa"/>
            <w:gridSpan w:val="7"/>
            <w:tcMar>
              <w:left w:w="57" w:type="dxa"/>
              <w:right w:w="57" w:type="dxa"/>
            </w:tcMar>
            <w:vAlign w:val="center"/>
          </w:tcPr>
          <w:p>
            <w:pPr>
              <w:spacing w:line="240" w:lineRule="exact"/>
              <w:jc w:val="center"/>
              <w:rPr>
                <w:kern w:val="0"/>
                <w:sz w:val="21"/>
                <w:szCs w:val="21"/>
              </w:rPr>
            </w:pPr>
            <w:r>
              <w:rPr>
                <w:rFonts w:hint="eastAsia"/>
                <w:kern w:val="0"/>
                <w:sz w:val="21"/>
                <w:szCs w:val="21"/>
              </w:rPr>
              <w:t>申请人情况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continue"/>
            <w:tcMar>
              <w:left w:w="108" w:type="dxa"/>
              <w:right w:w="108" w:type="dxa"/>
            </w:tcMar>
            <w:vAlign w:val="center"/>
          </w:tcPr>
          <w:p>
            <w:pPr>
              <w:spacing w:line="240" w:lineRule="exact"/>
              <w:jc w:val="center"/>
              <w:rPr>
                <w:rFonts w:hint="eastAsia"/>
                <w:kern w:val="0"/>
                <w:sz w:val="21"/>
                <w:szCs w:val="21"/>
              </w:rPr>
            </w:pPr>
          </w:p>
        </w:tc>
        <w:tc>
          <w:tcPr>
            <w:tcW w:w="642"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自然人</w:t>
            </w:r>
          </w:p>
        </w:tc>
        <w:tc>
          <w:tcPr>
            <w:tcW w:w="3570" w:type="dxa"/>
            <w:gridSpan w:val="5"/>
            <w:tcMar>
              <w:left w:w="57" w:type="dxa"/>
              <w:right w:w="57" w:type="dxa"/>
            </w:tcMar>
            <w:vAlign w:val="center"/>
          </w:tcPr>
          <w:p>
            <w:pPr>
              <w:spacing w:line="240" w:lineRule="exact"/>
              <w:jc w:val="center"/>
              <w:rPr>
                <w:kern w:val="0"/>
                <w:sz w:val="21"/>
                <w:szCs w:val="21"/>
              </w:rPr>
            </w:pPr>
            <w:r>
              <w:rPr>
                <w:rFonts w:hint="eastAsia"/>
                <w:kern w:val="0"/>
                <w:sz w:val="21"/>
                <w:szCs w:val="21"/>
              </w:rPr>
              <w:t>法人或其他组织</w:t>
            </w:r>
          </w:p>
        </w:tc>
        <w:tc>
          <w:tcPr>
            <w:tcW w:w="701"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vMerge w:val="continue"/>
            <w:tcMar>
              <w:left w:w="108" w:type="dxa"/>
              <w:right w:w="108" w:type="dxa"/>
            </w:tcMar>
            <w:vAlign w:val="center"/>
          </w:tcPr>
          <w:p>
            <w:pPr>
              <w:spacing w:line="240" w:lineRule="exact"/>
              <w:jc w:val="center"/>
              <w:rPr>
                <w:rFonts w:hint="eastAsia"/>
                <w:kern w:val="0"/>
                <w:sz w:val="21"/>
                <w:szCs w:val="21"/>
              </w:rPr>
            </w:pPr>
          </w:p>
        </w:tc>
        <w:tc>
          <w:tcPr>
            <w:tcW w:w="642" w:type="dxa"/>
            <w:vMerge w:val="continue"/>
            <w:tcMar>
              <w:left w:w="57" w:type="dxa"/>
              <w:right w:w="57" w:type="dxa"/>
            </w:tcMar>
            <w:vAlign w:val="center"/>
          </w:tcPr>
          <w:p>
            <w:pPr>
              <w:spacing w:line="240" w:lineRule="exact"/>
              <w:jc w:val="center"/>
              <w:rPr>
                <w:rFonts w:hint="eastAsia"/>
                <w:kern w:val="0"/>
                <w:sz w:val="21"/>
                <w:szCs w:val="21"/>
              </w:rPr>
            </w:pP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商业</w:t>
            </w:r>
          </w:p>
          <w:p>
            <w:pPr>
              <w:spacing w:line="240" w:lineRule="exact"/>
              <w:jc w:val="center"/>
              <w:rPr>
                <w:kern w:val="0"/>
                <w:sz w:val="21"/>
                <w:szCs w:val="21"/>
              </w:rPr>
            </w:pPr>
            <w:r>
              <w:rPr>
                <w:rFonts w:hint="eastAsia"/>
                <w:kern w:val="0"/>
                <w:sz w:val="21"/>
                <w:szCs w:val="21"/>
              </w:rPr>
              <w:t>企业</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科研</w:t>
            </w:r>
          </w:p>
          <w:p>
            <w:pPr>
              <w:spacing w:line="240" w:lineRule="exact"/>
              <w:jc w:val="center"/>
              <w:rPr>
                <w:kern w:val="0"/>
                <w:sz w:val="21"/>
                <w:szCs w:val="21"/>
              </w:rPr>
            </w:pPr>
            <w:r>
              <w:rPr>
                <w:rFonts w:hint="eastAsia"/>
                <w:kern w:val="0"/>
                <w:sz w:val="21"/>
                <w:szCs w:val="21"/>
              </w:rPr>
              <w:t>机构</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社会公益组织</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法律服务机构</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rPr>
              <w:t>其他</w:t>
            </w:r>
          </w:p>
        </w:tc>
        <w:tc>
          <w:tcPr>
            <w:tcW w:w="701" w:type="dxa"/>
            <w:vMerge w:val="continue"/>
            <w:tcMar>
              <w:left w:w="57" w:type="dxa"/>
              <w:right w:w="57" w:type="dxa"/>
            </w:tcMar>
            <w:vAlign w:val="center"/>
          </w:tcPr>
          <w:p>
            <w:pPr>
              <w:spacing w:line="240" w:lineRule="exact"/>
              <w:jc w:val="center"/>
              <w:rPr>
                <w:rFonts w:hint="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trPr>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一、本年新收政府信息公开申请数量</w:t>
            </w:r>
          </w:p>
        </w:tc>
        <w:tc>
          <w:tcPr>
            <w:tcW w:w="642"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val="en-US"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default" w:eastAsia="仿宋_GB2312"/>
                <w:kern w:val="0"/>
                <w:sz w:val="21"/>
                <w:szCs w:val="21"/>
                <w:lang w:val="en-US" w:eastAsia="zh-CN"/>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trPr>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二、上年结转政府信息公开申请数量</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三、本年度办理结果</w:t>
            </w: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（一）予以公开</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（二）部分公开（区分处理的，只计这一情形，不计其他情形）</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rFonts w:hint="eastAsia"/>
                <w:kern w:val="0"/>
                <w:sz w:val="21"/>
                <w:szCs w:val="21"/>
              </w:rPr>
            </w:pPr>
            <w:r>
              <w:rPr>
                <w:rFonts w:hint="eastAsia"/>
                <w:kern w:val="0"/>
                <w:sz w:val="21"/>
                <w:szCs w:val="21"/>
              </w:rPr>
              <w:t>（三）</w:t>
            </w:r>
          </w:p>
          <w:p>
            <w:pPr>
              <w:spacing w:line="240" w:lineRule="exact"/>
              <w:jc w:val="center"/>
              <w:rPr>
                <w:rFonts w:hint="eastAsia"/>
                <w:kern w:val="0"/>
                <w:sz w:val="21"/>
                <w:szCs w:val="21"/>
              </w:rPr>
            </w:pPr>
            <w:r>
              <w:rPr>
                <w:rFonts w:hint="eastAsia"/>
                <w:kern w:val="0"/>
                <w:sz w:val="21"/>
                <w:szCs w:val="21"/>
              </w:rPr>
              <w:t>不予</w:t>
            </w:r>
          </w:p>
          <w:p>
            <w:pPr>
              <w:spacing w:line="240" w:lineRule="exact"/>
              <w:jc w:val="center"/>
              <w:rPr>
                <w:kern w:val="0"/>
                <w:sz w:val="21"/>
                <w:szCs w:val="21"/>
              </w:rPr>
            </w:pPr>
            <w:r>
              <w:rPr>
                <w:rFonts w:hint="eastAsia"/>
                <w:kern w:val="0"/>
                <w:sz w:val="21"/>
                <w:szCs w:val="21"/>
              </w:rPr>
              <w:t>公开</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1.属于国家秘密</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2.其他法律行政法规禁止公开</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jc w:val="center"/>
              <w:rPr>
                <w:kern w:val="0"/>
                <w:sz w:val="21"/>
                <w:szCs w:val="21"/>
              </w:rPr>
            </w:pPr>
            <w:r>
              <w:rPr>
                <w:rFonts w:hint="eastAsia"/>
                <w:kern w:val="0"/>
                <w:sz w:val="21"/>
                <w:szCs w:val="21"/>
              </w:rPr>
              <w:t>3.危及“三安全一稳定”</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4.保护第三方合法权益</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5.属于三类内部事务信息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6.属于四类过程性信息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7.属于行政执法案卷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8.属于行政查询事项</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（四）无法提供</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1.本机关不掌握相关政府信息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2.没有现成信息需要另行制作</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3.补正后申请内容仍不明确</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（五）不予处理</w:t>
            </w: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1.信访举报投诉类申请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2.重复申请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3.要求提供公开出版物</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top"/>
          </w:tcPr>
          <w:p>
            <w:pPr>
              <w:spacing w:line="240" w:lineRule="exact"/>
              <w:rPr>
                <w:kern w:val="0"/>
                <w:sz w:val="21"/>
                <w:szCs w:val="21"/>
              </w:rPr>
            </w:pPr>
            <w:r>
              <w:rPr>
                <w:rFonts w:hint="eastAsia"/>
                <w:kern w:val="0"/>
                <w:sz w:val="21"/>
                <w:szCs w:val="21"/>
              </w:rPr>
              <w:t>4.无正当理由大量反复申请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79" w:hRule="atLeast"/>
        </w:trPr>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5.要求行政机关确认或重新出具已获取信息</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restart"/>
            <w:tcMar>
              <w:left w:w="57" w:type="dxa"/>
              <w:right w:w="57" w:type="dxa"/>
            </w:tcMar>
            <w:vAlign w:val="center"/>
          </w:tcPr>
          <w:p>
            <w:pPr>
              <w:spacing w:line="240" w:lineRule="exact"/>
              <w:jc w:val="center"/>
              <w:rPr>
                <w:kern w:val="0"/>
                <w:sz w:val="21"/>
                <w:szCs w:val="21"/>
              </w:rPr>
            </w:pPr>
            <w:r>
              <w:rPr>
                <w:rFonts w:hint="eastAsia"/>
                <w:kern w:val="0"/>
                <w:sz w:val="21"/>
                <w:szCs w:val="21"/>
              </w:rPr>
              <w:t>（六）其他处理</w:t>
            </w: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1.申请人无正当理由逾期不补正、行政机关不再处理其政府信息公开申请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2.申请人逾期未按收费通知要求缴纳费用、行政机关不再处理其政府信息公开申请</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959" w:type="dxa"/>
            <w:vMerge w:val="continue"/>
            <w:tcMar>
              <w:left w:w="57" w:type="dxa"/>
              <w:right w:w="57" w:type="dxa"/>
            </w:tcMar>
            <w:vAlign w:val="center"/>
          </w:tcPr>
          <w:p>
            <w:pPr>
              <w:spacing w:line="240" w:lineRule="exact"/>
              <w:jc w:val="center"/>
              <w:rPr>
                <w:rFonts w:hint="eastAsia"/>
                <w:kern w:val="0"/>
                <w:sz w:val="21"/>
                <w:szCs w:val="21"/>
              </w:rPr>
            </w:pPr>
          </w:p>
        </w:tc>
        <w:tc>
          <w:tcPr>
            <w:tcW w:w="2630" w:type="dxa"/>
            <w:tcMar>
              <w:left w:w="57" w:type="dxa"/>
              <w:right w:w="57" w:type="dxa"/>
            </w:tcMar>
            <w:vAlign w:val="center"/>
          </w:tcPr>
          <w:p>
            <w:pPr>
              <w:spacing w:line="240" w:lineRule="exact"/>
              <w:rPr>
                <w:kern w:val="0"/>
                <w:sz w:val="21"/>
                <w:szCs w:val="21"/>
              </w:rPr>
            </w:pPr>
            <w:r>
              <w:rPr>
                <w:rFonts w:hint="eastAsia"/>
                <w:kern w:val="0"/>
                <w:sz w:val="21"/>
                <w:szCs w:val="21"/>
              </w:rPr>
              <w:t>3.其他</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785" w:type="dxa"/>
            <w:vMerge w:val="continue"/>
            <w:tcMar>
              <w:left w:w="57" w:type="dxa"/>
              <w:right w:w="57" w:type="dxa"/>
            </w:tcMar>
            <w:vAlign w:val="center"/>
          </w:tcPr>
          <w:p>
            <w:pPr>
              <w:spacing w:line="240" w:lineRule="exact"/>
              <w:jc w:val="center"/>
              <w:rPr>
                <w:rFonts w:hint="eastAsia"/>
                <w:kern w:val="0"/>
                <w:sz w:val="21"/>
                <w:szCs w:val="21"/>
              </w:rPr>
            </w:pPr>
          </w:p>
        </w:tc>
        <w:tc>
          <w:tcPr>
            <w:tcW w:w="3589" w:type="dxa"/>
            <w:gridSpan w:val="2"/>
            <w:tcMar>
              <w:left w:w="57" w:type="dxa"/>
              <w:right w:w="57" w:type="dxa"/>
            </w:tcMar>
            <w:vAlign w:val="center"/>
          </w:tcPr>
          <w:p>
            <w:pPr>
              <w:spacing w:line="240" w:lineRule="exact"/>
              <w:jc w:val="center"/>
              <w:rPr>
                <w:kern w:val="0"/>
                <w:sz w:val="21"/>
                <w:szCs w:val="21"/>
              </w:rPr>
            </w:pPr>
            <w:r>
              <w:rPr>
                <w:rFonts w:hint="eastAsia"/>
                <w:kern w:val="0"/>
                <w:sz w:val="21"/>
                <w:szCs w:val="21"/>
              </w:rPr>
              <w:t>（七）总计</w:t>
            </w:r>
          </w:p>
        </w:tc>
        <w:tc>
          <w:tcPr>
            <w:tcW w:w="642"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default"/>
                <w:kern w:val="0"/>
                <w:sz w:val="21"/>
                <w:szCs w:val="21"/>
                <w:lang w:val="en-US"/>
              </w:rPr>
            </w:pPr>
            <w:r>
              <w:rPr>
                <w:rFonts w:hint="eastAsia"/>
                <w:kern w:val="0"/>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c>
          <w:tcPr>
            <w:tcW w:w="4374" w:type="dxa"/>
            <w:gridSpan w:val="3"/>
            <w:tcMar>
              <w:left w:w="57" w:type="dxa"/>
              <w:right w:w="57" w:type="dxa"/>
            </w:tcMar>
            <w:vAlign w:val="center"/>
          </w:tcPr>
          <w:p>
            <w:pPr>
              <w:spacing w:line="240" w:lineRule="exact"/>
              <w:jc w:val="center"/>
              <w:rPr>
                <w:kern w:val="0"/>
                <w:sz w:val="21"/>
                <w:szCs w:val="21"/>
              </w:rPr>
            </w:pPr>
            <w:r>
              <w:rPr>
                <w:rFonts w:hint="eastAsia"/>
                <w:kern w:val="0"/>
                <w:sz w:val="21"/>
                <w:szCs w:val="21"/>
              </w:rPr>
              <w:t>四、结转下年度继续办理</w:t>
            </w:r>
          </w:p>
        </w:tc>
        <w:tc>
          <w:tcPr>
            <w:tcW w:w="642"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14" w:type="dxa"/>
            <w:tcMar>
              <w:left w:w="57" w:type="dxa"/>
              <w:right w:w="57" w:type="dxa"/>
            </w:tcMar>
            <w:vAlign w:val="center"/>
          </w:tcPr>
          <w:p>
            <w:pPr>
              <w:spacing w:line="240" w:lineRule="exact"/>
              <w:jc w:val="center"/>
              <w:rPr>
                <w:kern w:val="0"/>
                <w:sz w:val="21"/>
                <w:szCs w:val="21"/>
              </w:rPr>
            </w:pPr>
            <w:r>
              <w:rPr>
                <w:rFonts w:hint="eastAsia"/>
                <w:kern w:val="0"/>
                <w:sz w:val="21"/>
                <w:szCs w:val="21"/>
                <w:lang w:val="en-US" w:eastAsia="zh-CN"/>
              </w:rPr>
              <w:t>0</w:t>
            </w:r>
          </w:p>
        </w:tc>
        <w:tc>
          <w:tcPr>
            <w:tcW w:w="701" w:type="dxa"/>
            <w:tcMar>
              <w:left w:w="57" w:type="dxa"/>
              <w:right w:w="57" w:type="dxa"/>
            </w:tcMar>
            <w:vAlign w:val="center"/>
          </w:tcPr>
          <w:p>
            <w:pPr>
              <w:spacing w:line="240" w:lineRule="exact"/>
              <w:jc w:val="center"/>
              <w:rPr>
                <w:rFonts w:hint="eastAsia"/>
                <w:kern w:val="0"/>
                <w:sz w:val="21"/>
                <w:szCs w:val="21"/>
              </w:rPr>
            </w:pPr>
            <w:r>
              <w:rPr>
                <w:rFonts w:hint="eastAsia"/>
                <w:kern w:val="0"/>
                <w:sz w:val="21"/>
                <w:szCs w:val="21"/>
                <w:lang w:val="en-US" w:eastAsia="zh-CN"/>
              </w:rPr>
              <w:t>0</w:t>
            </w:r>
          </w:p>
        </w:tc>
      </w:tr>
    </w:tbl>
    <w:p>
      <w:pPr>
        <w:pStyle w:val="6"/>
        <w:widowControl/>
        <w:spacing w:before="0" w:beforeAutospacing="0" w:after="0" w:afterAutospacing="0" w:line="560" w:lineRule="exact"/>
        <w:jc w:val="both"/>
        <w:rPr>
          <w:rFonts w:hint="eastAsia" w:ascii="黑体" w:hAnsi="黑体" w:eastAsia="黑体" w:cs="Times New Roman"/>
          <w:szCs w:val="32"/>
        </w:rPr>
      </w:pPr>
      <w:r>
        <w:rPr>
          <w:rFonts w:hint="eastAsia" w:ascii="黑体" w:hAnsi="黑体" w:eastAsia="黑体" w:cs="Times New Roman"/>
          <w:szCs w:val="32"/>
          <w:lang w:val="en-US" w:eastAsia="zh-CN"/>
        </w:rPr>
        <w:t xml:space="preserve">    </w:t>
      </w:r>
      <w:r>
        <w:rPr>
          <w:rFonts w:hint="eastAsia" w:ascii="黑体" w:hAnsi="黑体" w:eastAsia="黑体" w:cs="Times New Roman"/>
          <w:szCs w:val="32"/>
        </w:rPr>
        <w:t>四、政府信息公开行政复议、行政诉讼情况</w:t>
      </w:r>
    </w:p>
    <w:tbl>
      <w:tblPr>
        <w:tblStyle w:val="9"/>
        <w:tblW w:w="936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35"/>
        <w:gridCol w:w="540"/>
        <w:gridCol w:w="649"/>
        <w:gridCol w:w="649"/>
        <w:gridCol w:w="650"/>
        <w:gridCol w:w="650"/>
        <w:gridCol w:w="576"/>
        <w:gridCol w:w="650"/>
        <w:gridCol w:w="650"/>
        <w:gridCol w:w="650"/>
        <w:gridCol w:w="650"/>
        <w:gridCol w:w="47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12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行政复议</w:t>
            </w:r>
          </w:p>
        </w:tc>
        <w:tc>
          <w:tcPr>
            <w:tcW w:w="62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结果维持</w:t>
            </w:r>
          </w:p>
        </w:tc>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35"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540"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c>
          <w:tcPr>
            <w:tcW w:w="31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未经复议直接起诉</w:t>
            </w:r>
          </w:p>
        </w:tc>
        <w:tc>
          <w:tcPr>
            <w:tcW w:w="307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3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54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kern w:val="0"/>
                <w:sz w:val="21"/>
                <w:szCs w:val="21"/>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576"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维持</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结果</w:t>
            </w:r>
            <w:r>
              <w:rPr>
                <w:rFonts w:hint="eastAsia"/>
                <w:kern w:val="0"/>
                <w:sz w:val="21"/>
                <w:szCs w:val="21"/>
              </w:rPr>
              <w:br/>
            </w:r>
            <w:r>
              <w:rPr>
                <w:rFonts w:hint="eastAsia"/>
                <w:kern w:val="0"/>
                <w:sz w:val="21"/>
                <w:szCs w:val="21"/>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其他</w:t>
            </w:r>
            <w:r>
              <w:rPr>
                <w:rFonts w:hint="eastAsia"/>
                <w:kern w:val="0"/>
                <w:sz w:val="21"/>
                <w:szCs w:val="21"/>
              </w:rPr>
              <w:br/>
            </w:r>
            <w:r>
              <w:rPr>
                <w:rFonts w:hint="eastAsia"/>
                <w:kern w:val="0"/>
                <w:sz w:val="21"/>
                <w:szCs w:val="21"/>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尚未</w:t>
            </w:r>
            <w:r>
              <w:rPr>
                <w:rFonts w:hint="eastAsia"/>
                <w:kern w:val="0"/>
                <w:sz w:val="21"/>
                <w:szCs w:val="21"/>
              </w:rPr>
              <w:br/>
            </w:r>
            <w:r>
              <w:rPr>
                <w:rFonts w:hint="eastAsia"/>
                <w:kern w:val="0"/>
                <w:sz w:val="21"/>
                <w:szCs w:val="21"/>
              </w:rPr>
              <w:t>审结</w:t>
            </w:r>
          </w:p>
        </w:tc>
        <w:tc>
          <w:tcPr>
            <w:tcW w:w="47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kern w:val="0"/>
                <w:sz w:val="21"/>
                <w:szCs w:val="21"/>
              </w:rPr>
            </w:pPr>
            <w:r>
              <w:rPr>
                <w:rFonts w:hint="eastAsia"/>
                <w:kern w:val="0"/>
                <w:sz w:val="21"/>
                <w:szCs w:val="21"/>
                <w:lang w:val="en-US" w:eastAsia="zh-CN"/>
              </w:rPr>
              <w:t>0</w:t>
            </w:r>
            <w:r>
              <w:rPr>
                <w:kern w:val="0"/>
                <w:sz w:val="21"/>
                <w:szCs w:val="21"/>
              </w:rPr>
              <w:t> </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35"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54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576"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eastAsia="zh-CN"/>
              </w:rPr>
            </w:pPr>
            <w:r>
              <w:rPr>
                <w:rFonts w:hint="eastAsia"/>
                <w:kern w:val="0"/>
                <w:sz w:val="21"/>
                <w:szCs w:val="21"/>
                <w:lang w:val="en-US" w:eastAsia="zh-CN"/>
              </w:rPr>
              <w:t>0</w:t>
            </w:r>
          </w:p>
        </w:tc>
        <w:tc>
          <w:tcPr>
            <w:tcW w:w="472" w:type="dxa"/>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hint="eastAsia" w:eastAsia="仿宋_GB2312"/>
                <w:kern w:val="0"/>
                <w:sz w:val="21"/>
                <w:szCs w:val="21"/>
                <w:lang w:val="en-US" w:eastAsia="zh-CN"/>
              </w:rPr>
            </w:pPr>
            <w:r>
              <w:rPr>
                <w:rFonts w:hint="eastAsia"/>
                <w:kern w:val="0"/>
                <w:sz w:val="21"/>
                <w:szCs w:val="21"/>
                <w:lang w:val="en-US" w:eastAsia="zh-CN"/>
              </w:rPr>
              <w:t>0</w:t>
            </w:r>
          </w:p>
        </w:tc>
      </w:tr>
    </w:tbl>
    <w:p>
      <w:pPr>
        <w:pStyle w:val="6"/>
        <w:widowControl/>
        <w:wordWrap/>
        <w:adjustRightInd/>
        <w:snapToGrid/>
        <w:spacing w:before="0" w:beforeAutospacing="0" w:after="0" w:afterAutospacing="0" w:line="560" w:lineRule="exact"/>
        <w:jc w:val="both"/>
        <w:textAlignment w:val="auto"/>
        <w:rPr>
          <w:rFonts w:hint="eastAsia" w:ascii="黑体" w:hAnsi="黑体" w:eastAsia="黑体" w:cs="Times New Roman"/>
          <w:szCs w:val="32"/>
        </w:rPr>
      </w:pPr>
      <w:r>
        <w:rPr>
          <w:rFonts w:hint="eastAsia" w:ascii="黑体" w:hAnsi="黑体" w:eastAsia="黑体" w:cs="Times New Roman"/>
          <w:szCs w:val="32"/>
          <w:lang w:val="en-US" w:eastAsia="zh-CN"/>
        </w:rPr>
        <w:t xml:space="preserve">    </w:t>
      </w:r>
      <w:r>
        <w:rPr>
          <w:rFonts w:hint="eastAsia" w:ascii="黑体" w:hAnsi="黑体" w:eastAsia="黑体" w:cs="Times New Roman"/>
          <w:szCs w:val="32"/>
        </w:rPr>
        <w:t>五、存在的主要问题及改进情况</w:t>
      </w:r>
    </w:p>
    <w:p>
      <w:pPr>
        <w:pStyle w:val="6"/>
        <w:widowControl/>
        <w:wordWrap/>
        <w:adjustRightInd/>
        <w:snapToGrid/>
        <w:spacing w:before="0" w:beforeAutospacing="0" w:after="0" w:afterAutospacing="0" w:line="560" w:lineRule="exact"/>
        <w:ind w:firstLine="632" w:firstLineChars="200"/>
        <w:jc w:val="both"/>
        <w:textAlignment w:val="auto"/>
        <w:rPr>
          <w:rFonts w:hint="eastAsia" w:ascii="仿宋_GB2312" w:hAnsi="仿宋_GB2312"/>
          <w:sz w:val="32"/>
          <w:lang w:val="en-US" w:eastAsia="zh-CN"/>
        </w:rPr>
      </w:pPr>
      <w:r>
        <w:rPr>
          <w:rFonts w:hint="eastAsia" w:ascii="仿宋_GB2312" w:hAnsi="仿宋_GB2312"/>
          <w:sz w:val="32"/>
          <w:lang w:val="en-US" w:eastAsia="zh-CN"/>
        </w:rPr>
        <w:t>本机关认真开展政府信息公开工作，取得了一定成效，对外服务水平有了一定提高，但是与《条例》要求还有差距，主要表现在信息公开形式较为单一，政务公开工作人员业务能力还需进一步提高等。下一步，北仑支行将继续提升政务公开工作质效，一是以社会需求为导向，不断丰富信息公开的内容，发布更多权威准确、通俗易懂、形式多样的政策解读信息。二是继续加强政务公开业务理论知识的学习和培训，切实提高工作人员的政务公开意识和业务能力。</w:t>
      </w:r>
    </w:p>
    <w:p>
      <w:pPr>
        <w:pStyle w:val="6"/>
        <w:widowControl/>
        <w:numPr>
          <w:numId w:val="0"/>
        </w:numPr>
        <w:wordWrap/>
        <w:adjustRightInd/>
        <w:snapToGrid/>
        <w:spacing w:before="0" w:beforeAutospacing="0" w:after="0" w:afterAutospacing="0" w:line="560" w:lineRule="exact"/>
        <w:jc w:val="both"/>
        <w:textAlignment w:val="auto"/>
        <w:rPr>
          <w:rFonts w:hint="eastAsia" w:ascii="仿宋_GB2312" w:hAnsi="仿宋_GB2312" w:eastAsia="仿宋_GB2312" w:cs="仿宋_GB2312"/>
          <w:b w:val="0"/>
          <w:i w:val="0"/>
          <w:caps w:val="0"/>
          <w:color w:val="000000"/>
          <w:spacing w:val="0"/>
          <w:kern w:val="0"/>
          <w:sz w:val="32"/>
          <w:szCs w:val="32"/>
          <w:lang w:val="en-US" w:eastAsia="zh-CN"/>
        </w:rPr>
      </w:pPr>
      <w:r>
        <w:rPr>
          <w:rFonts w:hint="eastAsia" w:ascii="黑体" w:hAnsi="黑体" w:eastAsia="黑体" w:cs="Times New Roman"/>
          <w:szCs w:val="32"/>
          <w:lang w:val="en-US" w:eastAsia="zh-CN"/>
        </w:rPr>
        <w:t xml:space="preserve">    六、其他</w:t>
      </w:r>
      <w:r>
        <w:rPr>
          <w:rFonts w:hint="eastAsia" w:ascii="黑体" w:hAnsi="黑体" w:eastAsia="黑体" w:cs="Times New Roman"/>
          <w:szCs w:val="32"/>
        </w:rPr>
        <w:t>需要报告的事项</w:t>
      </w:r>
    </w:p>
    <w:p>
      <w:pPr>
        <w:pStyle w:val="6"/>
        <w:widowControl/>
        <w:numPr>
          <w:numId w:val="0"/>
        </w:numPr>
        <w:wordWrap/>
        <w:adjustRightInd/>
        <w:snapToGrid/>
        <w:spacing w:before="0" w:beforeAutospacing="0" w:after="0" w:afterAutospacing="0" w:line="560" w:lineRule="exact"/>
        <w:jc w:val="both"/>
        <w:textAlignment w:val="auto"/>
        <w:rPr>
          <w:rFonts w:hint="eastAsia" w:ascii="仿宋_GB2312" w:hAnsi="仿宋_GB2312" w:eastAsia="仿宋_GB2312" w:cs="仿宋_GB2312"/>
          <w:b w:val="0"/>
          <w:i w:val="0"/>
          <w:caps w:val="0"/>
          <w:color w:val="000000"/>
          <w:spacing w:val="0"/>
          <w:kern w:val="0"/>
          <w:sz w:val="32"/>
          <w:szCs w:val="32"/>
          <w:lang w:val="en-US" w:eastAsia="zh-CN"/>
        </w:rPr>
      </w:pPr>
      <w:r>
        <w:rPr>
          <w:rFonts w:hint="eastAsia" w:ascii="黑体" w:hAnsi="黑体" w:eastAsia="黑体" w:cs="Times New Roman"/>
          <w:szCs w:val="32"/>
          <w:lang w:val="en-US" w:eastAsia="zh-CN"/>
        </w:rPr>
        <w:t xml:space="preserve">    </w:t>
      </w:r>
      <w:r>
        <w:rPr>
          <w:rFonts w:hint="eastAsia" w:ascii="仿宋_GB2312" w:hAnsi="仿宋_GB2312" w:eastAsia="仿宋_GB2312" w:cs="仿宋_GB2312"/>
          <w:sz w:val="32"/>
          <w:lang w:eastAsia="zh-CN"/>
        </w:rPr>
        <w:t>根据《政府信息公开信息处理费管理办法》有关规定，本机关全年没有收到超过一定数量或者频次范围的政府信息公开申请，也未对申请人收取信息处理费。特此说明。</w:t>
      </w:r>
    </w:p>
    <w:p>
      <w:pPr>
        <w:rPr>
          <w:rFonts w:hint="eastAsia" w:eastAsia="仿宋_GB2312"/>
          <w:lang w:val="en-US" w:eastAsia="zh-CN"/>
        </w:rPr>
      </w:pPr>
    </w:p>
    <w:sectPr>
      <w:footerReference r:id="rId4" w:type="default"/>
      <w:footerReference r:id="rId5" w:type="even"/>
      <w:pgSz w:w="11906" w:h="16838"/>
      <w:pgMar w:top="1701" w:right="1474" w:bottom="1134" w:left="1588" w:header="851" w:footer="992" w:gutter="0"/>
      <w:cols w:space="720" w:num="1"/>
      <w:titlePg/>
      <w:docGrid w:type="linesAndChars" w:linePitch="636"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ntury Gothic">
    <w:panose1 w:val="020B05020202020202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4</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24904D9A"/>
    <w:rsid w:val="02F65D5F"/>
    <w:rsid w:val="14473A52"/>
    <w:rsid w:val="19D51F50"/>
    <w:rsid w:val="24904D9A"/>
    <w:rsid w:val="31F17348"/>
    <w:rsid w:val="4F996814"/>
    <w:rsid w:val="5922142B"/>
    <w:rsid w:val="7DD73B8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uiPriority w:val="0"/>
  </w:style>
  <w:style w:type="table" w:default="1" w:styleId="9">
    <w:name w:val="Normal Table"/>
    <w:semiHidden/>
    <w:qFormat/>
    <w:uiPriority w:val="0"/>
    <w:tblPr>
      <w:tblStyle w:val="9"/>
      <w:tblLayout w:type="fixed"/>
      <w:tblCellMar>
        <w:top w:w="0" w:type="dxa"/>
        <w:left w:w="108" w:type="dxa"/>
        <w:bottom w:w="0" w:type="dxa"/>
        <w:right w:w="108" w:type="dxa"/>
      </w:tblCellMar>
    </w:tblPr>
    <w:tcPr>
      <w:textDirection w:val="lrTb"/>
    </w:tcPr>
  </w:style>
  <w:style w:type="paragraph" w:styleId="2">
    <w:name w:val="Normal Indent"/>
    <w:basedOn w:val="1"/>
    <w:qFormat/>
    <w:uiPriority w:val="0"/>
    <w:pPr>
      <w:ind w:firstLine="420" w:firstLineChars="200"/>
    </w:pPr>
    <w:rPr>
      <w:rFonts w:eastAsia="仿宋"/>
    </w:rPr>
  </w:style>
  <w:style w:type="paragraph" w:styleId="3">
    <w:name w:val="Body Text Indent"/>
    <w:basedOn w:val="1"/>
    <w:next w:val="2"/>
    <w:unhideWhenUsed/>
    <w:qFormat/>
    <w:uiPriority w:val="99"/>
    <w:pPr>
      <w:spacing w:after="120"/>
      <w:ind w:left="420" w:leftChars="200"/>
    </w:pPr>
    <w:rPr>
      <w:rFonts w:hint="default"/>
      <w:sz w:val="21"/>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unhideWhenUsed/>
    <w:qFormat/>
    <w:uiPriority w:val="99"/>
    <w:pPr>
      <w:spacing w:after="0" w:line="300" w:lineRule="auto"/>
      <w:ind w:left="0" w:leftChars="0"/>
    </w:pPr>
    <w:rPr>
      <w:rFonts w:hint="default" w:ascii="Calibri" w:hAnsi="Calibri"/>
      <w:i/>
      <w:sz w:val="21"/>
    </w:rPr>
  </w:style>
  <w:style w:type="paragraph" w:styleId="6">
    <w:name w:val="Normal (Web)"/>
    <w:basedOn w:val="1"/>
    <w:semiHidden/>
    <w:qFormat/>
    <w:uiPriority w:val="0"/>
    <w:pPr>
      <w:jc w:val="left"/>
    </w:pPr>
    <w:rPr>
      <w:rFonts w:eastAsia="仿宋_GB2312"/>
      <w:kern w:val="0"/>
      <w:sz w:val="32"/>
      <w:szCs w:val="32"/>
    </w:rPr>
  </w:style>
  <w:style w:type="character" w:styleId="8">
    <w:name w:val="page number"/>
    <w:basedOn w:val="7"/>
    <w:qFormat/>
    <w:uiPriority w:val="0"/>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2022-01-13T02:09:00Z</dcterms:created>
  <dc:creator>微信用户</dc:creator>
  <cp:lastModifiedBy>nbgly</cp:lastModifiedBy>
  <dcterms:modified xsi:type="dcterms:W3CDTF">2023-01-13T08:38:23Z</dcterms:modified>
  <dc:title>宁波市镇海区中国人民银行北仑支行</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