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480" w:lineRule="atLeast"/>
        <w:ind w:right="0"/>
        <w:jc w:val="center"/>
        <w:rPr>
          <w:rFonts w:ascii="仿宋_GB2312" w:eastAsia="仿宋_GB2312" w:cs="仿宋_GB2312"/>
          <w:sz w:val="31"/>
          <w:szCs w:val="31"/>
        </w:rPr>
      </w:pPr>
      <w:r>
        <w:rPr>
          <w:rFonts w:hint="eastAsia" w:ascii="仿宋_GB2312" w:eastAsia="仿宋_GB2312" w:cs="仿宋_GB2312"/>
          <w:sz w:val="31"/>
          <w:szCs w:val="31"/>
        </w:rPr>
        <w:t>北仑区退役军人事务局2022年度政府信息公开工作年度报告</w:t>
      </w:r>
    </w:p>
    <w:p>
      <w:pPr>
        <w:pStyle w:val="2"/>
        <w:keepNext w:val="0"/>
        <w:keepLines w:val="0"/>
        <w:widowControl/>
        <w:suppressLineNumbers w:val="0"/>
        <w:spacing w:before="0" w:beforeAutospacing="0" w:after="0" w:afterAutospacing="0" w:line="480" w:lineRule="atLeast"/>
        <w:ind w:left="0" w:right="0" w:firstLine="645"/>
        <w:jc w:val="both"/>
      </w:pPr>
      <w:r>
        <w:rPr>
          <w:rFonts w:ascii="仿宋_GB2312" w:eastAsia="仿宋_GB2312" w:cs="仿宋_GB2312"/>
          <w:sz w:val="31"/>
          <w:szCs w:val="31"/>
        </w:rPr>
        <w:t>本报告是根据《中华人民共和国政府信息公开条例》（国务院令第711号）和《国务院办公厅政府信息与政务公开办公室关于政府信息公开工作年度报告有关事项的通知》（国办公开办函〔2019〕60号）、国务院办公厅政府信息与政务公开办公室关于印发《中华人民共和国政府信息公开工作年度报告格式》的通知（国办公开办函〔2021〕30号）文件要求编制。全文包含总体情况、主动公开政府信息情况、行政机关收到和处理政府信息公开申请情况、因政府信息公开工作被申请行政复议、提起行政诉讼情况、政府信息公开工作存在的主要问题及改进情况、其他需要报告的事项六个方面。本报告所列数据的统计期限自</w:t>
      </w:r>
      <w:r>
        <w:rPr>
          <w:rFonts w:hint="eastAsia" w:ascii="仿宋_GB2312" w:eastAsia="仿宋_GB2312" w:cs="仿宋_GB2312"/>
          <w:sz w:val="31"/>
          <w:szCs w:val="31"/>
        </w:rPr>
        <w:t>2022年1月1日起至12月31日止。</w:t>
      </w:r>
    </w:p>
    <w:p>
      <w:pPr>
        <w:pStyle w:val="2"/>
        <w:keepNext w:val="0"/>
        <w:keepLines w:val="0"/>
        <w:widowControl/>
        <w:suppressLineNumbers w:val="0"/>
        <w:spacing w:before="0" w:beforeAutospacing="0" w:after="0" w:afterAutospacing="0" w:line="525" w:lineRule="atLeast"/>
        <w:ind w:left="0" w:right="0" w:firstLine="645"/>
        <w:rPr>
          <w:sz w:val="21"/>
          <w:szCs w:val="21"/>
        </w:rPr>
      </w:pPr>
      <w:r>
        <w:rPr>
          <w:rFonts w:ascii="黑体" w:hAnsi="宋体" w:eastAsia="黑体" w:cs="黑体"/>
          <w:sz w:val="31"/>
          <w:szCs w:val="31"/>
        </w:rPr>
        <w:t>一、</w:t>
      </w:r>
      <w:r>
        <w:rPr>
          <w:rFonts w:hint="eastAsia" w:ascii="黑体" w:hAnsi="宋体" w:eastAsia="黑体" w:cs="黑体"/>
          <w:sz w:val="31"/>
          <w:szCs w:val="31"/>
        </w:rPr>
        <w:t>总体情况</w:t>
      </w:r>
    </w:p>
    <w:p>
      <w:pPr>
        <w:pStyle w:val="2"/>
        <w:keepNext w:val="0"/>
        <w:keepLines w:val="0"/>
        <w:widowControl/>
        <w:suppressLineNumbers w:val="0"/>
        <w:spacing w:before="0" w:beforeAutospacing="0" w:after="0" w:afterAutospacing="0" w:line="525" w:lineRule="atLeast"/>
        <w:ind w:left="0" w:right="0" w:firstLine="645"/>
        <w:rPr>
          <w:sz w:val="21"/>
          <w:szCs w:val="21"/>
        </w:rPr>
      </w:pPr>
      <w:r>
        <w:rPr>
          <w:rFonts w:hint="eastAsia" w:ascii="仿宋_GB2312" w:eastAsia="仿宋_GB2312" w:cs="仿宋_GB2312"/>
          <w:sz w:val="31"/>
          <w:szCs w:val="31"/>
        </w:rPr>
        <w:t>2022年，北仑区退役军人事务局认真贯彻落实《中华人民共和国政府信息公开条例》和省、市、区有关要求，加强民主监督，规范公开内容，推动政府信息公开工作有序开展。</w:t>
      </w:r>
    </w:p>
    <w:p>
      <w:pPr>
        <w:pStyle w:val="2"/>
        <w:keepNext w:val="0"/>
        <w:keepLines w:val="0"/>
        <w:widowControl/>
        <w:suppressLineNumbers w:val="0"/>
        <w:spacing w:before="0" w:beforeAutospacing="0" w:after="0" w:afterAutospacing="0" w:line="525" w:lineRule="atLeast"/>
        <w:ind w:left="0" w:right="0" w:firstLine="480"/>
        <w:rPr>
          <w:sz w:val="21"/>
          <w:szCs w:val="21"/>
        </w:rPr>
      </w:pPr>
      <w:r>
        <w:rPr>
          <w:rStyle w:val="5"/>
          <w:rFonts w:ascii="楷体_GB2312" w:eastAsia="楷体_GB2312" w:cs="楷体_GB2312"/>
          <w:sz w:val="31"/>
          <w:szCs w:val="31"/>
        </w:rPr>
        <w:t>（一）完善工作机制。</w:t>
      </w:r>
      <w:r>
        <w:rPr>
          <w:rFonts w:hint="eastAsia" w:ascii="仿宋_GB2312" w:eastAsia="仿宋_GB2312" w:cs="仿宋_GB2312"/>
          <w:sz w:val="31"/>
          <w:szCs w:val="31"/>
        </w:rPr>
        <w:t>坚持公开透明原则，安排专人负责政府信息公开（包括政务公开）的综合管理及日常维护。严把信息公开审批关，认真做好政务信息公开保密审查工作。紧盯办理时间，力求公开及时，并定期开展政府信息公开自查，确保信息公开工作及时、规范、有序、安全。全年没有发生因政务公开工作而被追责的情况。</w:t>
      </w:r>
    </w:p>
    <w:p>
      <w:pPr>
        <w:pStyle w:val="2"/>
        <w:keepNext w:val="0"/>
        <w:keepLines w:val="0"/>
        <w:widowControl/>
        <w:suppressLineNumbers w:val="0"/>
        <w:spacing w:before="0" w:beforeAutospacing="0" w:after="0" w:afterAutospacing="0" w:line="420" w:lineRule="atLeast"/>
        <w:ind w:left="0" w:right="0"/>
      </w:pPr>
      <w:r>
        <w:rPr>
          <w:rStyle w:val="5"/>
          <w:rFonts w:hint="eastAsia" w:ascii="楷体_GB2312" w:eastAsia="楷体_GB2312" w:cs="楷体_GB2312"/>
          <w:sz w:val="31"/>
          <w:szCs w:val="31"/>
        </w:rPr>
        <w:t>    （二）加强培训指导。</w:t>
      </w:r>
      <w:r>
        <w:rPr>
          <w:rFonts w:hint="eastAsia" w:ascii="仿宋_GB2312" w:eastAsia="仿宋_GB2312" w:cs="仿宋_GB2312"/>
          <w:sz w:val="31"/>
          <w:szCs w:val="31"/>
        </w:rPr>
        <w:t>定期组织业务培训，学习《中华人民共和国政府信息公开条例》，不断深化对政府信息公开工作的认识理解。建立季度公开情况反馈制度，对各科室公开情况中出现的突出问题及时进行反馈。</w:t>
      </w:r>
    </w:p>
    <w:p>
      <w:pPr>
        <w:pStyle w:val="2"/>
        <w:keepNext w:val="0"/>
        <w:keepLines w:val="0"/>
        <w:widowControl/>
        <w:suppressLineNumbers w:val="0"/>
        <w:shd w:val="clear" w:fill="FFFFFF"/>
        <w:spacing w:before="0" w:beforeAutospacing="0" w:after="0" w:afterAutospacing="0" w:line="525" w:lineRule="atLeast"/>
        <w:ind w:left="0" w:right="0" w:firstLine="645"/>
      </w:pPr>
      <w:r>
        <w:rPr>
          <w:rFonts w:hint="eastAsia" w:ascii="仿宋_GB2312" w:eastAsia="仿宋_GB2312" w:cs="仿宋_GB2312"/>
          <w:color w:val="333333"/>
          <w:sz w:val="31"/>
          <w:szCs w:val="31"/>
          <w:shd w:val="clear" w:fill="FFFFFF"/>
        </w:rPr>
        <w:t>截止2022年底，本年度共计主动公开各类政府信息6条。</w:t>
      </w:r>
    </w:p>
    <w:p>
      <w:pPr>
        <w:pStyle w:val="2"/>
        <w:keepNext w:val="0"/>
        <w:keepLines w:val="0"/>
        <w:widowControl/>
        <w:suppressLineNumbers w:val="0"/>
        <w:shd w:val="clear" w:fill="FFFFFF"/>
        <w:spacing w:before="0" w:beforeAutospacing="0" w:after="0" w:afterAutospacing="0" w:line="420" w:lineRule="atLeast"/>
        <w:ind w:left="0" w:right="0" w:firstLine="420"/>
        <w:jc w:val="both"/>
      </w:pPr>
      <w:r>
        <w:rPr>
          <w:rFonts w:hint="eastAsia" w:ascii="黑体" w:hAnsi="宋体" w:eastAsia="黑体" w:cs="黑体"/>
          <w:sz w:val="31"/>
          <w:szCs w:val="31"/>
          <w:shd w:val="clear" w:fill="FFFFFF"/>
        </w:rPr>
        <w:t>二、主动公开政府信息情况</w:t>
      </w:r>
    </w:p>
    <w:p>
      <w:pPr>
        <w:pStyle w:val="2"/>
        <w:keepNext w:val="0"/>
        <w:keepLines w:val="0"/>
        <w:widowControl/>
        <w:suppressLineNumbers w:val="0"/>
        <w:shd w:val="clear" w:fill="FFFFFF"/>
        <w:spacing w:before="0" w:beforeAutospacing="0" w:after="0" w:afterAutospacing="0" w:line="420" w:lineRule="atLeast"/>
        <w:ind w:left="0" w:right="0" w:firstLine="420"/>
        <w:jc w:val="both"/>
      </w:pPr>
      <w:r>
        <w:rPr>
          <w:rFonts w:hint="eastAsia" w:ascii="宋体" w:hAnsi="宋体" w:eastAsia="宋体" w:cs="宋体"/>
          <w:color w:val="333333"/>
          <w:sz w:val="24"/>
          <w:szCs w:val="24"/>
          <w:shd w:val="clear" w:fill="FFFFFF"/>
        </w:rPr>
        <w:t> </w:t>
      </w:r>
    </w:p>
    <w:tbl>
      <w:tblPr>
        <w:tblStyle w:val="3"/>
        <w:tblW w:w="96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430"/>
        <w:gridCol w:w="2430"/>
        <w:gridCol w:w="2430"/>
        <w:gridCol w:w="23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jc w:val="center"/>
        </w:trPr>
        <w:tc>
          <w:tcPr>
            <w:tcW w:w="9660" w:type="dxa"/>
            <w:gridSpan w:val="4"/>
            <w:tcBorders>
              <w:top w:val="single" w:color="auto" w:sz="6" w:space="0"/>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信息内容</w:t>
            </w:r>
          </w:p>
        </w:tc>
        <w:tc>
          <w:tcPr>
            <w:tcW w:w="2430"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本年制发件数</w:t>
            </w:r>
          </w:p>
        </w:tc>
        <w:tc>
          <w:tcPr>
            <w:tcW w:w="2430"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本年废止件数</w:t>
            </w:r>
          </w:p>
        </w:tc>
        <w:tc>
          <w:tcPr>
            <w:tcW w:w="2355"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规章</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p>
        </w:tc>
        <w:tc>
          <w:tcPr>
            <w:tcW w:w="235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行政规范性文件</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p>
        </w:tc>
        <w:tc>
          <w:tcPr>
            <w:tcW w:w="235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jc w:val="center"/>
        </w:trPr>
        <w:tc>
          <w:tcPr>
            <w:tcW w:w="9660"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信息内容</w:t>
            </w:r>
          </w:p>
        </w:tc>
        <w:tc>
          <w:tcPr>
            <w:tcW w:w="721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行政许可</w:t>
            </w:r>
          </w:p>
        </w:tc>
        <w:tc>
          <w:tcPr>
            <w:tcW w:w="721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jc w:val="center"/>
        </w:trPr>
        <w:tc>
          <w:tcPr>
            <w:tcW w:w="9660"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信息内容</w:t>
            </w:r>
          </w:p>
        </w:tc>
        <w:tc>
          <w:tcPr>
            <w:tcW w:w="7215" w:type="dxa"/>
            <w:gridSpan w:val="3"/>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行政处罚</w:t>
            </w:r>
          </w:p>
        </w:tc>
        <w:tc>
          <w:tcPr>
            <w:tcW w:w="721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行政强制</w:t>
            </w:r>
          </w:p>
        </w:tc>
        <w:tc>
          <w:tcPr>
            <w:tcW w:w="721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jc w:val="center"/>
        </w:trPr>
        <w:tc>
          <w:tcPr>
            <w:tcW w:w="9660"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信息内容</w:t>
            </w:r>
          </w:p>
        </w:tc>
        <w:tc>
          <w:tcPr>
            <w:tcW w:w="7215" w:type="dxa"/>
            <w:gridSpan w:val="3"/>
            <w:tcBorders>
              <w:top w:val="nil"/>
              <w:left w:val="nil"/>
              <w:bottom w:val="single" w:color="auto" w:sz="6" w:space="0"/>
              <w:right w:val="single" w:color="000000"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行政事业性收费</w:t>
            </w:r>
          </w:p>
        </w:tc>
        <w:tc>
          <w:tcPr>
            <w:tcW w:w="7215" w:type="dxa"/>
            <w:gridSpan w:val="3"/>
            <w:tcBorders>
              <w:top w:val="nil"/>
              <w:left w:val="nil"/>
              <w:bottom w:val="single" w:color="auto" w:sz="6" w:space="0"/>
              <w:right w:val="single" w:color="000000"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24"/>
                <w:szCs w:val="24"/>
              </w:rPr>
              <w:t>0</w:t>
            </w:r>
          </w:p>
        </w:tc>
      </w:tr>
    </w:tbl>
    <w:p>
      <w:pPr>
        <w:pStyle w:val="2"/>
        <w:keepNext w:val="0"/>
        <w:keepLines w:val="0"/>
        <w:widowControl/>
        <w:suppressLineNumbers w:val="0"/>
        <w:shd w:val="clear" w:fill="FFFFFF"/>
        <w:spacing w:before="0" w:beforeAutospacing="0" w:after="0" w:afterAutospacing="0" w:line="420" w:lineRule="atLeast"/>
        <w:ind w:left="0" w:right="0"/>
        <w:jc w:val="both"/>
      </w:pPr>
      <w:r>
        <w:rPr>
          <w:rStyle w:val="5"/>
          <w:rFonts w:hint="eastAsia" w:ascii="宋体" w:hAnsi="宋体" w:eastAsia="宋体" w:cs="宋体"/>
          <w:color w:val="333333"/>
          <w:sz w:val="24"/>
          <w:szCs w:val="24"/>
          <w:shd w:val="clear" w:fill="FFFFFF"/>
        </w:rPr>
        <w:t> </w:t>
      </w:r>
    </w:p>
    <w:p>
      <w:pPr>
        <w:pStyle w:val="2"/>
        <w:keepNext w:val="0"/>
        <w:keepLines w:val="0"/>
        <w:widowControl/>
        <w:suppressLineNumbers w:val="0"/>
        <w:shd w:val="clear" w:fill="FFFFFF"/>
        <w:spacing w:before="0" w:beforeAutospacing="0" w:after="0" w:afterAutospacing="0" w:line="420" w:lineRule="atLeast"/>
        <w:ind w:left="0" w:right="0"/>
        <w:jc w:val="both"/>
      </w:pPr>
      <w:r>
        <w:rPr>
          <w:rStyle w:val="5"/>
          <w:rFonts w:hint="eastAsia" w:ascii="宋体" w:hAnsi="宋体" w:eastAsia="宋体" w:cs="宋体"/>
          <w:color w:val="333333"/>
          <w:sz w:val="24"/>
          <w:szCs w:val="24"/>
          <w:shd w:val="clear" w:fill="FFFFFF"/>
        </w:rPr>
        <w:t>三、收到和处理政府信息公开申请情况</w:t>
      </w:r>
    </w:p>
    <w:p>
      <w:pPr>
        <w:pStyle w:val="2"/>
        <w:keepNext w:val="0"/>
        <w:keepLines w:val="0"/>
        <w:widowControl/>
        <w:suppressLineNumbers w:val="0"/>
        <w:shd w:val="clear" w:fill="FFFFFF"/>
        <w:spacing w:before="0" w:beforeAutospacing="0" w:after="0" w:afterAutospacing="0" w:line="420" w:lineRule="atLeast"/>
        <w:ind w:left="0" w:right="0" w:firstLine="420"/>
        <w:jc w:val="both"/>
      </w:pPr>
      <w:r>
        <w:rPr>
          <w:rFonts w:hint="eastAsia" w:ascii="宋体" w:hAnsi="宋体" w:eastAsia="宋体" w:cs="宋体"/>
          <w:color w:val="333333"/>
          <w:sz w:val="24"/>
          <w:szCs w:val="24"/>
          <w:shd w:val="clear" w:fill="FFFFFF"/>
        </w:rPr>
        <w:t> </w:t>
      </w:r>
    </w:p>
    <w:tbl>
      <w:tblPr>
        <w:tblStyle w:val="3"/>
        <w:tblW w:w="975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758"/>
        <w:gridCol w:w="940"/>
        <w:gridCol w:w="3187"/>
        <w:gridCol w:w="689"/>
        <w:gridCol w:w="696"/>
        <w:gridCol w:w="696"/>
        <w:gridCol w:w="696"/>
        <w:gridCol w:w="696"/>
        <w:gridCol w:w="696"/>
        <w:gridCol w:w="69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145" w:type="dxa"/>
            <w:gridSpan w:val="3"/>
            <w:vMerge w:val="restart"/>
            <w:tcBorders>
              <w:top w:val="single" w:color="auto" w:sz="6" w:space="0"/>
              <w:left w:val="single" w:color="auto" w:sz="6" w:space="0"/>
              <w:bottom w:val="outset"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ascii="楷体" w:hAnsi="楷体" w:eastAsia="楷体" w:cs="楷体"/>
                <w:sz w:val="19"/>
                <w:szCs w:val="19"/>
              </w:rPr>
              <w:t>（本列数据的勾稽关系为：第一项加第二项之和，等于第三项加第四项之和）</w:t>
            </w:r>
          </w:p>
        </w:tc>
        <w:tc>
          <w:tcPr>
            <w:tcW w:w="4995" w:type="dxa"/>
            <w:gridSpan w:val="7"/>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145" w:type="dxa"/>
            <w:gridSpan w:val="3"/>
            <w:vMerge w:val="continue"/>
            <w:tcBorders>
              <w:top w:val="single" w:color="auto" w:sz="6" w:space="0"/>
              <w:left w:val="single" w:color="auto" w:sz="6" w:space="0"/>
              <w:bottom w:val="outset" w:color="auto" w:sz="6" w:space="0"/>
              <w:right w:val="single" w:color="auto" w:sz="6" w:space="0"/>
            </w:tcBorders>
            <w:shd w:val="clear" w:color="auto" w:fill="auto"/>
            <w:tcMar>
              <w:top w:w="0" w:type="dxa"/>
              <w:left w:w="105" w:type="dxa"/>
              <w:bottom w:w="0" w:type="dxa"/>
              <w:right w:w="105" w:type="dxa"/>
            </w:tcMar>
            <w:vAlign w:val="center"/>
          </w:tcPr>
          <w:p>
            <w:pPr>
              <w:rPr>
                <w:rFonts w:hint="eastAsia" w:ascii="宋体"/>
                <w:sz w:val="24"/>
                <w:szCs w:val="24"/>
              </w:rPr>
            </w:pPr>
          </w:p>
        </w:tc>
        <w:tc>
          <w:tcPr>
            <w:tcW w:w="720" w:type="dxa"/>
            <w:vMerge w:val="restart"/>
            <w:tcBorders>
              <w:top w:val="single" w:color="auto" w:sz="6" w:space="0"/>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自然人</w:t>
            </w:r>
          </w:p>
        </w:tc>
        <w:tc>
          <w:tcPr>
            <w:tcW w:w="3570" w:type="dxa"/>
            <w:gridSpan w:val="5"/>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法人或其他组织</w:t>
            </w:r>
          </w:p>
        </w:tc>
        <w:tc>
          <w:tcPr>
            <w:tcW w:w="720" w:type="dxa"/>
            <w:vMerge w:val="restart"/>
            <w:tcBorders>
              <w:top w:val="single" w:color="auto" w:sz="6" w:space="0"/>
              <w:left w:val="single" w:color="auto" w:sz="6" w:space="0"/>
              <w:bottom w:val="outset"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145" w:type="dxa"/>
            <w:gridSpan w:val="3"/>
            <w:vMerge w:val="continue"/>
            <w:tcBorders>
              <w:top w:val="single" w:color="auto" w:sz="6" w:space="0"/>
              <w:left w:val="single" w:color="auto" w:sz="6" w:space="0"/>
              <w:bottom w:val="outset" w:color="auto" w:sz="6" w:space="0"/>
              <w:right w:val="single" w:color="auto" w:sz="6" w:space="0"/>
            </w:tcBorders>
            <w:shd w:val="clear" w:color="auto" w:fill="auto"/>
            <w:tcMar>
              <w:top w:w="0" w:type="dxa"/>
              <w:left w:w="105" w:type="dxa"/>
              <w:bottom w:w="0" w:type="dxa"/>
              <w:right w:w="105" w:type="dxa"/>
            </w:tcMar>
            <w:vAlign w:val="center"/>
          </w:tcPr>
          <w:p>
            <w:pPr>
              <w:rPr>
                <w:rFonts w:hint="eastAsia" w:ascii="宋体"/>
                <w:sz w:val="24"/>
                <w:szCs w:val="24"/>
              </w:rPr>
            </w:pPr>
          </w:p>
        </w:tc>
        <w:tc>
          <w:tcPr>
            <w:tcW w:w="720" w:type="dxa"/>
            <w:vMerge w:val="continue"/>
            <w:tcBorders>
              <w:top w:val="single" w:color="auto" w:sz="6" w:space="0"/>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7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商业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企业</w:t>
            </w:r>
          </w:p>
        </w:tc>
        <w:tc>
          <w:tcPr>
            <w:tcW w:w="7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科研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机构</w:t>
            </w:r>
          </w:p>
        </w:tc>
        <w:tc>
          <w:tcPr>
            <w:tcW w:w="7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社会公益组织</w:t>
            </w:r>
          </w:p>
        </w:tc>
        <w:tc>
          <w:tcPr>
            <w:tcW w:w="7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法律服务机构</w:t>
            </w:r>
          </w:p>
        </w:tc>
        <w:tc>
          <w:tcPr>
            <w:tcW w:w="7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其他</w:t>
            </w:r>
          </w:p>
        </w:tc>
        <w:tc>
          <w:tcPr>
            <w:tcW w:w="72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105" w:type="dxa"/>
              <w:bottom w:w="0"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5145" w:type="dxa"/>
            <w:gridSpan w:val="3"/>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一、本年新收政府信息公开申请数量</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1</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145" w:type="dxa"/>
            <w:gridSpan w:val="3"/>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二、上年结转政府信息公开申请数量</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restart"/>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三、本年度办理结果</w:t>
            </w:r>
          </w:p>
        </w:tc>
        <w:tc>
          <w:tcPr>
            <w:tcW w:w="4365" w:type="dxa"/>
            <w:gridSpan w:val="2"/>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（一）予以公开</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4365" w:type="dxa"/>
            <w:gridSpan w:val="2"/>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（二）部分公开</w:t>
            </w:r>
            <w:r>
              <w:rPr>
                <w:rFonts w:hint="eastAsia" w:ascii="楷体" w:hAnsi="楷体" w:eastAsia="楷体" w:cs="楷体"/>
                <w:sz w:val="19"/>
                <w:szCs w:val="19"/>
              </w:rPr>
              <w:t>（区分处理的，只计这一情形，不计其他情形）</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1</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eastAsiaTheme="minorEastAsia"/>
                <w:sz w:val="21"/>
                <w:szCs w:val="21"/>
                <w:lang w:eastAsia="zh-CN"/>
              </w:rPr>
            </w:pPr>
            <w:r>
              <w:rPr>
                <w:rFonts w:hint="eastAsia" w:ascii="Calibri" w:hAnsi="Calibri" w:cs="Calibri"/>
                <w:sz w:val="19"/>
                <w:szCs w:val="19"/>
                <w:lang w:val="en-US" w:eastAsia="zh-CN"/>
              </w:rPr>
              <w:t>1</w:t>
            </w:r>
            <w:bookmarkStart w:id="0" w:name="_GoBack"/>
            <w:bookmarkEnd w:id="0"/>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60" w:type="dxa"/>
            <w:vMerge w:val="restart"/>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（三）不予公开</w:t>
            </w: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1.属于国家秘密</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1</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2.其他法律行政法规禁止公开</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3.危及“三安全一稳定”</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4.保护第三方合法权益</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5.属于三类内部事务信息</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6.属于四类过程性信息</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7.属于行政执法案卷</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8.属于行政查询事项</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60" w:type="dxa"/>
            <w:vMerge w:val="restart"/>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（四）无法提供</w:t>
            </w: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1.本机关不掌握相关政府信息</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2.没有现成信息需要另行制作</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3.补正后申请内容仍不明确</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60" w:type="dxa"/>
            <w:vMerge w:val="restart"/>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（五）不予处理</w:t>
            </w: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1.信访举报投诉类申请</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2.重复申请</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3.要求提供公开出版物</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4.无正当理由大量反复申请</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80" w:hRule="atLeast"/>
          <w:jc w:val="center"/>
        </w:trPr>
        <w:tc>
          <w:tcPr>
            <w:tcW w:w="78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6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405" w:type="dxa"/>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5.要求行政机关确认或重新出具已获取信息</w:t>
            </w:r>
          </w:p>
        </w:tc>
        <w:tc>
          <w:tcPr>
            <w:tcW w:w="720" w:type="dxa"/>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60" w:type="dxa"/>
            <w:vMerge w:val="restart"/>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（六）其他处理</w:t>
            </w: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1.申请人无正当理由逾期不补正、行政机关不再处理其政府信息公开申请</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2.申请人逾期未按收费通知要求缴纳费用、行政机关不再处理其政府信息公开申请</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8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96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3.其他</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80" w:type="dxa"/>
            <w:vMerge w:val="continue"/>
            <w:tcBorders>
              <w:top w:val="single" w:color="auto" w:sz="6" w:space="0"/>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pPr>
              <w:rPr>
                <w:rFonts w:hint="eastAsia" w:ascii="宋体"/>
                <w:sz w:val="24"/>
                <w:szCs w:val="24"/>
              </w:rPr>
            </w:pPr>
          </w:p>
        </w:tc>
        <w:tc>
          <w:tcPr>
            <w:tcW w:w="4365" w:type="dxa"/>
            <w:gridSpan w:val="2"/>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（七）总计</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1</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145" w:type="dxa"/>
            <w:gridSpan w:val="3"/>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19"/>
                <w:szCs w:val="19"/>
              </w:rPr>
              <w:t>四、结转下年度继续办理</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0</w:t>
            </w:r>
            <w:r>
              <w:rPr>
                <w:rFonts w:hint="default" w:ascii="Calibri" w:hAnsi="Calibri" w:cs="Calibri"/>
                <w:sz w:val="19"/>
                <w:szCs w:val="19"/>
              </w:rPr>
              <w:t> </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default" w:ascii="Calibri" w:hAnsi="Calibri" w:cs="Calibri"/>
                <w:sz w:val="19"/>
                <w:szCs w:val="19"/>
              </w:rPr>
              <w:t> </w:t>
            </w:r>
            <w:r>
              <w:rPr>
                <w:rFonts w:hint="eastAsia" w:ascii="宋体" w:hAnsi="宋体" w:eastAsia="宋体" w:cs="宋体"/>
                <w:sz w:val="19"/>
                <w:szCs w:val="19"/>
              </w:rPr>
              <w:t>0</w:t>
            </w:r>
          </w:p>
        </w:tc>
      </w:tr>
    </w:tbl>
    <w:p>
      <w:pPr>
        <w:pStyle w:val="2"/>
        <w:keepNext w:val="0"/>
        <w:keepLines w:val="0"/>
        <w:widowControl/>
        <w:suppressLineNumbers w:val="0"/>
        <w:shd w:val="clear" w:fill="FFFFFF"/>
        <w:spacing w:before="0" w:beforeAutospacing="0" w:after="0" w:afterAutospacing="0" w:line="420" w:lineRule="atLeast"/>
        <w:ind w:left="0" w:right="0"/>
        <w:jc w:val="center"/>
        <w:rPr>
          <w:sz w:val="21"/>
          <w:szCs w:val="21"/>
        </w:rPr>
      </w:pPr>
      <w:r>
        <w:rPr>
          <w:rFonts w:hint="eastAsia" w:ascii="宋体" w:hAnsi="宋体" w:eastAsia="宋体" w:cs="宋体"/>
          <w:color w:val="333333"/>
          <w:sz w:val="24"/>
          <w:szCs w:val="24"/>
          <w:shd w:val="clear" w:fill="FFFFFF"/>
        </w:rPr>
        <w:t> </w:t>
      </w:r>
    </w:p>
    <w:p>
      <w:pPr>
        <w:pStyle w:val="2"/>
        <w:keepNext w:val="0"/>
        <w:keepLines w:val="0"/>
        <w:widowControl/>
        <w:suppressLineNumbers w:val="0"/>
        <w:shd w:val="clear" w:fill="FFFFFF"/>
        <w:spacing w:before="0" w:beforeAutospacing="0" w:after="0" w:afterAutospacing="0" w:line="420" w:lineRule="atLeast"/>
        <w:ind w:left="0" w:right="0"/>
        <w:jc w:val="both"/>
      </w:pPr>
      <w:r>
        <w:rPr>
          <w:rStyle w:val="5"/>
          <w:rFonts w:hint="eastAsia" w:ascii="宋体" w:hAnsi="宋体" w:eastAsia="宋体" w:cs="宋体"/>
          <w:color w:val="333333"/>
          <w:sz w:val="24"/>
          <w:szCs w:val="24"/>
          <w:shd w:val="clear" w:fill="FFFFFF"/>
        </w:rPr>
        <w:t>四、政府信息公开行政复议、行政诉讼情况</w:t>
      </w:r>
    </w:p>
    <w:p>
      <w:pPr>
        <w:pStyle w:val="2"/>
        <w:keepNext w:val="0"/>
        <w:keepLines w:val="0"/>
        <w:widowControl/>
        <w:suppressLineNumbers w:val="0"/>
        <w:shd w:val="clear" w:fill="FFFFFF"/>
        <w:spacing w:before="0" w:beforeAutospacing="0" w:after="0" w:afterAutospacing="0" w:line="420" w:lineRule="atLeast"/>
        <w:ind w:left="0" w:right="0"/>
        <w:jc w:val="center"/>
        <w:rPr>
          <w:sz w:val="21"/>
          <w:szCs w:val="21"/>
        </w:rPr>
      </w:pPr>
      <w:r>
        <w:rPr>
          <w:rFonts w:hint="eastAsia" w:ascii="宋体" w:hAnsi="宋体" w:eastAsia="宋体" w:cs="宋体"/>
          <w:color w:val="333333"/>
          <w:sz w:val="24"/>
          <w:szCs w:val="24"/>
          <w:shd w:val="clear" w:fill="FFFFFF"/>
        </w:rPr>
        <w:t> </w:t>
      </w:r>
    </w:p>
    <w:tbl>
      <w:tblPr>
        <w:tblStyle w:val="3"/>
        <w:tblW w:w="975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650"/>
        <w:gridCol w:w="650"/>
        <w:gridCol w:w="650"/>
        <w:gridCol w:w="650"/>
        <w:gridCol w:w="650"/>
        <w:gridCol w:w="650"/>
        <w:gridCol w:w="650"/>
        <w:gridCol w:w="650"/>
        <w:gridCol w:w="650"/>
        <w:gridCol w:w="650"/>
        <w:gridCol w:w="650"/>
        <w:gridCol w:w="650"/>
        <w:gridCol w:w="650"/>
        <w:gridCol w:w="650"/>
        <w:gridCol w:w="65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3210" w:type="dxa"/>
            <w:gridSpan w:val="5"/>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行政复议</w:t>
            </w:r>
          </w:p>
        </w:tc>
        <w:tc>
          <w:tcPr>
            <w:tcW w:w="6435" w:type="dxa"/>
            <w:gridSpan w:val="10"/>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45" w:type="dxa"/>
            <w:vMerge w:val="restart"/>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结果维持</w:t>
            </w:r>
          </w:p>
        </w:tc>
        <w:tc>
          <w:tcPr>
            <w:tcW w:w="645" w:type="dxa"/>
            <w:vMerge w:val="restart"/>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结果</w:t>
            </w:r>
            <w:r>
              <w:rPr>
                <w:rFonts w:hint="eastAsia" w:ascii="宋体" w:hAnsi="宋体" w:eastAsia="宋体" w:cs="宋体"/>
                <w:sz w:val="19"/>
                <w:szCs w:val="19"/>
              </w:rPr>
              <w:br w:type="textWrapping"/>
            </w:r>
            <w:r>
              <w:rPr>
                <w:rFonts w:hint="eastAsia" w:ascii="宋体" w:hAnsi="宋体" w:eastAsia="宋体" w:cs="宋体"/>
                <w:sz w:val="19"/>
                <w:szCs w:val="19"/>
              </w:rPr>
              <w:t>纠正</w:t>
            </w:r>
          </w:p>
        </w:tc>
        <w:tc>
          <w:tcPr>
            <w:tcW w:w="645" w:type="dxa"/>
            <w:vMerge w:val="restart"/>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其他</w:t>
            </w:r>
            <w:r>
              <w:rPr>
                <w:rFonts w:hint="eastAsia" w:ascii="宋体" w:hAnsi="宋体" w:eastAsia="宋体" w:cs="宋体"/>
                <w:sz w:val="19"/>
                <w:szCs w:val="19"/>
              </w:rPr>
              <w:br w:type="textWrapping"/>
            </w:r>
            <w:r>
              <w:rPr>
                <w:rFonts w:hint="eastAsia" w:ascii="宋体" w:hAnsi="宋体" w:eastAsia="宋体" w:cs="宋体"/>
                <w:sz w:val="19"/>
                <w:szCs w:val="19"/>
              </w:rPr>
              <w:t>结果</w:t>
            </w:r>
          </w:p>
        </w:tc>
        <w:tc>
          <w:tcPr>
            <w:tcW w:w="645" w:type="dxa"/>
            <w:vMerge w:val="restart"/>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尚未</w:t>
            </w:r>
            <w:r>
              <w:rPr>
                <w:rFonts w:hint="eastAsia" w:ascii="宋体" w:hAnsi="宋体" w:eastAsia="宋体" w:cs="宋体"/>
                <w:sz w:val="19"/>
                <w:szCs w:val="19"/>
              </w:rPr>
              <w:br w:type="textWrapping"/>
            </w:r>
            <w:r>
              <w:rPr>
                <w:rFonts w:hint="eastAsia" w:ascii="宋体" w:hAnsi="宋体" w:eastAsia="宋体" w:cs="宋体"/>
                <w:sz w:val="19"/>
                <w:szCs w:val="19"/>
              </w:rPr>
              <w:t>审结</w:t>
            </w:r>
          </w:p>
        </w:tc>
        <w:tc>
          <w:tcPr>
            <w:tcW w:w="645" w:type="dxa"/>
            <w:vMerge w:val="restart"/>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总计</w:t>
            </w:r>
          </w:p>
        </w:tc>
        <w:tc>
          <w:tcPr>
            <w:tcW w:w="3210" w:type="dxa"/>
            <w:gridSpan w:val="5"/>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未经复议直接起诉</w:t>
            </w:r>
          </w:p>
        </w:tc>
        <w:tc>
          <w:tcPr>
            <w:tcW w:w="3210" w:type="dxa"/>
            <w:gridSpan w:val="5"/>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45" w:type="dxa"/>
            <w:vMerge w:val="continue"/>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rPr>
                <w:rFonts w:hint="eastAsia" w:ascii="宋体"/>
                <w:sz w:val="24"/>
                <w:szCs w:val="24"/>
              </w:rPr>
            </w:pPr>
          </w:p>
        </w:tc>
        <w:tc>
          <w:tcPr>
            <w:tcW w:w="645" w:type="dxa"/>
            <w:vMerge w:val="continue"/>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rPr>
                <w:rFonts w:hint="eastAsia" w:ascii="宋体"/>
                <w:sz w:val="24"/>
                <w:szCs w:val="24"/>
              </w:rPr>
            </w:pPr>
          </w:p>
        </w:tc>
        <w:tc>
          <w:tcPr>
            <w:tcW w:w="645" w:type="dxa"/>
            <w:vMerge w:val="continue"/>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rPr>
                <w:rFonts w:hint="eastAsia" w:ascii="宋体"/>
                <w:sz w:val="24"/>
                <w:szCs w:val="24"/>
              </w:rPr>
            </w:pPr>
          </w:p>
        </w:tc>
        <w:tc>
          <w:tcPr>
            <w:tcW w:w="645" w:type="dxa"/>
            <w:vMerge w:val="continue"/>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rPr>
                <w:rFonts w:hint="eastAsia" w:ascii="宋体"/>
                <w:sz w:val="24"/>
                <w:szCs w:val="24"/>
              </w:rPr>
            </w:pPr>
          </w:p>
        </w:tc>
        <w:tc>
          <w:tcPr>
            <w:tcW w:w="645" w:type="dxa"/>
            <w:vMerge w:val="continue"/>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rPr>
                <w:rFonts w:hint="eastAsia" w:ascii="宋体"/>
                <w:sz w:val="24"/>
                <w:szCs w:val="24"/>
              </w:rPr>
            </w:pPr>
          </w:p>
        </w:tc>
        <w:tc>
          <w:tcPr>
            <w:tcW w:w="64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结果</w:t>
            </w:r>
            <w:r>
              <w:rPr>
                <w:rFonts w:hint="eastAsia" w:ascii="宋体" w:hAnsi="宋体" w:eastAsia="宋体" w:cs="宋体"/>
                <w:sz w:val="19"/>
                <w:szCs w:val="19"/>
              </w:rPr>
              <w:br w:type="textWrapping"/>
            </w:r>
            <w:r>
              <w:rPr>
                <w:rFonts w:hint="eastAsia" w:ascii="宋体" w:hAnsi="宋体" w:eastAsia="宋体" w:cs="宋体"/>
                <w:sz w:val="19"/>
                <w:szCs w:val="19"/>
              </w:rPr>
              <w:t>维持</w:t>
            </w:r>
          </w:p>
        </w:tc>
        <w:tc>
          <w:tcPr>
            <w:tcW w:w="64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结果</w:t>
            </w:r>
            <w:r>
              <w:rPr>
                <w:rFonts w:hint="eastAsia" w:ascii="宋体" w:hAnsi="宋体" w:eastAsia="宋体" w:cs="宋体"/>
                <w:sz w:val="19"/>
                <w:szCs w:val="19"/>
              </w:rPr>
              <w:br w:type="textWrapping"/>
            </w:r>
            <w:r>
              <w:rPr>
                <w:rFonts w:hint="eastAsia" w:ascii="宋体" w:hAnsi="宋体" w:eastAsia="宋体" w:cs="宋体"/>
                <w:sz w:val="19"/>
                <w:szCs w:val="19"/>
              </w:rPr>
              <w:t>纠正</w:t>
            </w:r>
          </w:p>
        </w:tc>
        <w:tc>
          <w:tcPr>
            <w:tcW w:w="645"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其他</w:t>
            </w:r>
            <w:r>
              <w:rPr>
                <w:rFonts w:hint="eastAsia" w:ascii="宋体" w:hAnsi="宋体" w:eastAsia="宋体" w:cs="宋体"/>
                <w:sz w:val="19"/>
                <w:szCs w:val="19"/>
              </w:rPr>
              <w:br w:type="textWrapping"/>
            </w:r>
            <w:r>
              <w:rPr>
                <w:rFonts w:hint="eastAsia" w:ascii="宋体" w:hAnsi="宋体" w:eastAsia="宋体" w:cs="宋体"/>
                <w:sz w:val="19"/>
                <w:szCs w:val="19"/>
              </w:rPr>
              <w:t>结果</w:t>
            </w:r>
          </w:p>
        </w:tc>
        <w:tc>
          <w:tcPr>
            <w:tcW w:w="645"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尚未</w:t>
            </w:r>
            <w:r>
              <w:rPr>
                <w:rFonts w:hint="eastAsia" w:ascii="宋体" w:hAnsi="宋体" w:eastAsia="宋体" w:cs="宋体"/>
                <w:sz w:val="19"/>
                <w:szCs w:val="19"/>
              </w:rPr>
              <w:br w:type="textWrapping"/>
            </w:r>
            <w:r>
              <w:rPr>
                <w:rFonts w:hint="eastAsia" w:ascii="宋体" w:hAnsi="宋体" w:eastAsia="宋体" w:cs="宋体"/>
                <w:sz w:val="19"/>
                <w:szCs w:val="19"/>
              </w:rPr>
              <w:t>审结</w:t>
            </w:r>
          </w:p>
        </w:tc>
        <w:tc>
          <w:tcPr>
            <w:tcW w:w="645"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总计</w:t>
            </w:r>
          </w:p>
        </w:tc>
        <w:tc>
          <w:tcPr>
            <w:tcW w:w="645"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结果</w:t>
            </w:r>
            <w:r>
              <w:rPr>
                <w:rFonts w:hint="eastAsia" w:ascii="宋体" w:hAnsi="宋体" w:eastAsia="宋体" w:cs="宋体"/>
                <w:sz w:val="19"/>
                <w:szCs w:val="19"/>
              </w:rPr>
              <w:br w:type="textWrapping"/>
            </w:r>
            <w:r>
              <w:rPr>
                <w:rFonts w:hint="eastAsia" w:ascii="宋体" w:hAnsi="宋体" w:eastAsia="宋体" w:cs="宋体"/>
                <w:sz w:val="19"/>
                <w:szCs w:val="19"/>
              </w:rPr>
              <w:t>维持</w:t>
            </w:r>
          </w:p>
        </w:tc>
        <w:tc>
          <w:tcPr>
            <w:tcW w:w="645"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结果</w:t>
            </w:r>
            <w:r>
              <w:rPr>
                <w:rFonts w:hint="eastAsia" w:ascii="宋体" w:hAnsi="宋体" w:eastAsia="宋体" w:cs="宋体"/>
                <w:sz w:val="19"/>
                <w:szCs w:val="19"/>
              </w:rPr>
              <w:br w:type="textWrapping"/>
            </w:r>
            <w:r>
              <w:rPr>
                <w:rFonts w:hint="eastAsia" w:ascii="宋体" w:hAnsi="宋体" w:eastAsia="宋体" w:cs="宋体"/>
                <w:sz w:val="19"/>
                <w:szCs w:val="19"/>
              </w:rPr>
              <w:t>纠正</w:t>
            </w:r>
          </w:p>
        </w:tc>
        <w:tc>
          <w:tcPr>
            <w:tcW w:w="645"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其他</w:t>
            </w:r>
            <w:r>
              <w:rPr>
                <w:rFonts w:hint="eastAsia" w:ascii="宋体" w:hAnsi="宋体" w:eastAsia="宋体" w:cs="宋体"/>
                <w:sz w:val="19"/>
                <w:szCs w:val="19"/>
              </w:rPr>
              <w:br w:type="textWrapping"/>
            </w:r>
            <w:r>
              <w:rPr>
                <w:rFonts w:hint="eastAsia" w:ascii="宋体" w:hAnsi="宋体" w:eastAsia="宋体" w:cs="宋体"/>
                <w:sz w:val="19"/>
                <w:szCs w:val="19"/>
              </w:rPr>
              <w:t>结果</w:t>
            </w:r>
          </w:p>
        </w:tc>
        <w:tc>
          <w:tcPr>
            <w:tcW w:w="645"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尚未</w:t>
            </w:r>
            <w:r>
              <w:rPr>
                <w:rFonts w:hint="eastAsia" w:ascii="宋体" w:hAnsi="宋体" w:eastAsia="宋体" w:cs="宋体"/>
                <w:sz w:val="19"/>
                <w:szCs w:val="19"/>
              </w:rPr>
              <w:br w:type="textWrapping"/>
            </w:r>
            <w:r>
              <w:rPr>
                <w:rFonts w:hint="eastAsia" w:ascii="宋体" w:hAnsi="宋体" w:eastAsia="宋体" w:cs="宋体"/>
                <w:sz w:val="19"/>
                <w:szCs w:val="19"/>
              </w:rPr>
              <w:t>审结</w:t>
            </w:r>
          </w:p>
        </w:tc>
        <w:tc>
          <w:tcPr>
            <w:tcW w:w="645" w:type="dxa"/>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75" w:hRule="atLeast"/>
          <w:jc w:val="center"/>
        </w:trPr>
        <w:tc>
          <w:tcPr>
            <w:tcW w:w="64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黑体" w:hAnsi="宋体" w:eastAsia="黑体" w:cs="黑体"/>
                <w:sz w:val="19"/>
                <w:szCs w:val="19"/>
              </w:rPr>
              <w:t> 0</w:t>
            </w:r>
          </w:p>
        </w:tc>
        <w:tc>
          <w:tcPr>
            <w:tcW w:w="64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 </w:t>
            </w:r>
            <w:r>
              <w:rPr>
                <w:rFonts w:hint="eastAsia" w:ascii="黑体" w:hAnsi="宋体" w:eastAsia="黑体" w:cs="黑体"/>
                <w:sz w:val="19"/>
                <w:szCs w:val="19"/>
              </w:rPr>
              <w:t>0</w:t>
            </w:r>
          </w:p>
        </w:tc>
        <w:tc>
          <w:tcPr>
            <w:tcW w:w="64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黑体" w:hAnsi="宋体" w:eastAsia="黑体" w:cs="黑体"/>
                <w:sz w:val="19"/>
                <w:szCs w:val="19"/>
              </w:rPr>
              <w:t>0</w:t>
            </w:r>
            <w:r>
              <w:rPr>
                <w:rFonts w:hint="eastAsia" w:ascii="宋体" w:hAnsi="宋体" w:eastAsia="宋体" w:cs="宋体"/>
                <w:sz w:val="19"/>
                <w:szCs w:val="19"/>
              </w:rPr>
              <w:t> </w:t>
            </w:r>
          </w:p>
        </w:tc>
        <w:tc>
          <w:tcPr>
            <w:tcW w:w="64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黑体" w:hAnsi="宋体" w:eastAsia="黑体" w:cs="黑体"/>
                <w:sz w:val="19"/>
                <w:szCs w:val="19"/>
              </w:rPr>
              <w:t>0</w:t>
            </w:r>
            <w:r>
              <w:rPr>
                <w:rFonts w:hint="eastAsia" w:ascii="宋体" w:hAnsi="宋体" w:eastAsia="宋体" w:cs="宋体"/>
                <w:sz w:val="19"/>
                <w:szCs w:val="19"/>
              </w:rPr>
              <w:t> </w:t>
            </w:r>
          </w:p>
        </w:tc>
        <w:tc>
          <w:tcPr>
            <w:tcW w:w="64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黑体" w:hAnsi="宋体" w:eastAsia="黑体" w:cs="黑体"/>
                <w:sz w:val="19"/>
                <w:szCs w:val="19"/>
              </w:rPr>
              <w:t>0</w:t>
            </w:r>
            <w:r>
              <w:rPr>
                <w:rFonts w:hint="eastAsia" w:ascii="宋体" w:hAnsi="宋体" w:eastAsia="宋体" w:cs="宋体"/>
                <w:sz w:val="19"/>
                <w:szCs w:val="19"/>
              </w:rPr>
              <w:t> </w:t>
            </w:r>
          </w:p>
        </w:tc>
        <w:tc>
          <w:tcPr>
            <w:tcW w:w="64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黑体" w:hAnsi="宋体" w:eastAsia="黑体" w:cs="黑体"/>
                <w:sz w:val="19"/>
                <w:szCs w:val="19"/>
              </w:rPr>
              <w:t>0</w:t>
            </w:r>
            <w:r>
              <w:rPr>
                <w:rFonts w:hint="eastAsia" w:ascii="宋体" w:hAnsi="宋体" w:eastAsia="宋体" w:cs="宋体"/>
                <w:sz w:val="19"/>
                <w:szCs w:val="19"/>
              </w:rPr>
              <w:t> </w:t>
            </w:r>
          </w:p>
        </w:tc>
        <w:tc>
          <w:tcPr>
            <w:tcW w:w="64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黑体" w:hAnsi="宋体" w:eastAsia="黑体" w:cs="黑体"/>
                <w:sz w:val="19"/>
                <w:szCs w:val="19"/>
              </w:rPr>
              <w:t>0</w:t>
            </w:r>
            <w:r>
              <w:rPr>
                <w:rFonts w:hint="eastAsia" w:ascii="宋体" w:hAnsi="宋体" w:eastAsia="宋体" w:cs="宋体"/>
                <w:sz w:val="19"/>
                <w:szCs w:val="19"/>
              </w:rPr>
              <w:t> </w:t>
            </w:r>
          </w:p>
        </w:tc>
        <w:tc>
          <w:tcPr>
            <w:tcW w:w="64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黑体" w:hAnsi="宋体" w:eastAsia="黑体" w:cs="黑体"/>
                <w:sz w:val="19"/>
                <w:szCs w:val="19"/>
              </w:rPr>
              <w:t>0</w:t>
            </w:r>
            <w:r>
              <w:rPr>
                <w:rFonts w:hint="eastAsia" w:ascii="宋体" w:hAnsi="宋体" w:eastAsia="宋体" w:cs="宋体"/>
                <w:sz w:val="19"/>
                <w:szCs w:val="19"/>
              </w:rPr>
              <w:t> </w:t>
            </w:r>
          </w:p>
        </w:tc>
        <w:tc>
          <w:tcPr>
            <w:tcW w:w="64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 </w:t>
            </w:r>
            <w:r>
              <w:rPr>
                <w:rFonts w:hint="eastAsia" w:ascii="黑体" w:hAnsi="宋体" w:eastAsia="黑体" w:cs="黑体"/>
                <w:sz w:val="19"/>
                <w:szCs w:val="19"/>
              </w:rPr>
              <w:t>0</w:t>
            </w:r>
          </w:p>
        </w:tc>
        <w:tc>
          <w:tcPr>
            <w:tcW w:w="64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 </w:t>
            </w:r>
            <w:r>
              <w:rPr>
                <w:rFonts w:hint="eastAsia" w:ascii="黑体" w:hAnsi="宋体" w:eastAsia="黑体" w:cs="黑体"/>
                <w:sz w:val="19"/>
                <w:szCs w:val="19"/>
              </w:rPr>
              <w:t>0</w:t>
            </w:r>
          </w:p>
        </w:tc>
        <w:tc>
          <w:tcPr>
            <w:tcW w:w="64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 </w:t>
            </w:r>
            <w:r>
              <w:rPr>
                <w:rFonts w:hint="eastAsia" w:ascii="黑体" w:hAnsi="宋体" w:eastAsia="黑体" w:cs="黑体"/>
                <w:sz w:val="19"/>
                <w:szCs w:val="19"/>
              </w:rPr>
              <w:t>0</w:t>
            </w:r>
          </w:p>
        </w:tc>
        <w:tc>
          <w:tcPr>
            <w:tcW w:w="64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 </w:t>
            </w:r>
            <w:r>
              <w:rPr>
                <w:rFonts w:hint="eastAsia" w:ascii="黑体" w:hAnsi="宋体" w:eastAsia="黑体" w:cs="黑体"/>
                <w:sz w:val="19"/>
                <w:szCs w:val="19"/>
              </w:rPr>
              <w:t>0</w:t>
            </w:r>
          </w:p>
        </w:tc>
        <w:tc>
          <w:tcPr>
            <w:tcW w:w="64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 </w:t>
            </w:r>
            <w:r>
              <w:rPr>
                <w:rFonts w:hint="eastAsia" w:ascii="黑体" w:hAnsi="宋体" w:eastAsia="黑体" w:cs="黑体"/>
                <w:sz w:val="19"/>
                <w:szCs w:val="19"/>
              </w:rPr>
              <w:t>0</w:t>
            </w:r>
          </w:p>
        </w:tc>
        <w:tc>
          <w:tcPr>
            <w:tcW w:w="64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sz w:val="21"/>
                <w:szCs w:val="21"/>
              </w:rPr>
            </w:pPr>
            <w:r>
              <w:rPr>
                <w:rFonts w:hint="eastAsia" w:ascii="宋体" w:hAnsi="宋体" w:eastAsia="宋体" w:cs="宋体"/>
                <w:sz w:val="19"/>
                <w:szCs w:val="19"/>
              </w:rPr>
              <w:t> </w:t>
            </w:r>
            <w:r>
              <w:rPr>
                <w:rFonts w:hint="eastAsia" w:ascii="黑体" w:hAnsi="宋体" w:eastAsia="黑体" w:cs="黑体"/>
                <w:sz w:val="19"/>
                <w:szCs w:val="19"/>
              </w:rPr>
              <w:t>0</w:t>
            </w:r>
          </w:p>
        </w:tc>
        <w:tc>
          <w:tcPr>
            <w:tcW w:w="645"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sz w:val="21"/>
                <w:szCs w:val="21"/>
              </w:rPr>
            </w:pPr>
            <w:r>
              <w:rPr>
                <w:rFonts w:hint="eastAsia" w:ascii="宋体" w:hAnsi="宋体" w:eastAsia="宋体" w:cs="宋体"/>
                <w:sz w:val="24"/>
                <w:szCs w:val="24"/>
              </w:rPr>
              <w:t>0</w:t>
            </w:r>
          </w:p>
        </w:tc>
      </w:tr>
    </w:tbl>
    <w:p>
      <w:pPr>
        <w:pStyle w:val="2"/>
        <w:keepNext w:val="0"/>
        <w:keepLines w:val="0"/>
        <w:widowControl/>
        <w:suppressLineNumbers w:val="0"/>
        <w:spacing w:before="0" w:beforeAutospacing="0" w:after="0" w:afterAutospacing="0" w:line="510" w:lineRule="atLeast"/>
        <w:ind w:left="0" w:right="0" w:firstLine="645"/>
        <w:rPr>
          <w:sz w:val="21"/>
          <w:szCs w:val="21"/>
        </w:rPr>
      </w:pPr>
      <w:r>
        <w:rPr>
          <w:rFonts w:hint="eastAsia" w:ascii="黑体" w:hAnsi="宋体" w:eastAsia="黑体" w:cs="黑体"/>
          <w:sz w:val="31"/>
          <w:szCs w:val="31"/>
        </w:rPr>
        <w:t>五、存在的主要问题及改进情况</w:t>
      </w:r>
    </w:p>
    <w:p>
      <w:pPr>
        <w:pStyle w:val="2"/>
        <w:keepNext w:val="0"/>
        <w:keepLines w:val="0"/>
        <w:widowControl/>
        <w:suppressLineNumbers w:val="0"/>
        <w:spacing w:before="0" w:beforeAutospacing="0" w:after="0" w:afterAutospacing="0" w:line="555" w:lineRule="atLeast"/>
        <w:ind w:left="0" w:right="0" w:firstLine="645"/>
        <w:rPr>
          <w:sz w:val="21"/>
          <w:szCs w:val="21"/>
        </w:rPr>
      </w:pPr>
      <w:r>
        <w:rPr>
          <w:rFonts w:hint="eastAsia" w:ascii="仿宋_GB2312" w:eastAsia="仿宋_GB2312" w:cs="仿宋_GB2312"/>
          <w:sz w:val="31"/>
          <w:szCs w:val="31"/>
        </w:rPr>
        <w:t>2022年，我局有效推进政府信息公开工作，但还存在部分公开内容不够丰富、重点领域公开深度还不够宽、主动公开政府信息的数量不够多等问题。2023年，我局将多举措加强政务公开工作，提高政策解读发布的质量和范围，丰富解读的形式，进一步丰富信息公开的渠道，持续多角度把关，确保信息公开工作的质量，切实提高政府信息公开工作实效。</w:t>
      </w:r>
    </w:p>
    <w:p>
      <w:pPr>
        <w:pStyle w:val="2"/>
        <w:keepNext w:val="0"/>
        <w:keepLines w:val="0"/>
        <w:widowControl/>
        <w:suppressLineNumbers w:val="0"/>
        <w:shd w:val="clear" w:fill="FFFFFF"/>
        <w:spacing w:before="0" w:beforeAutospacing="0" w:after="0" w:afterAutospacing="0" w:line="420" w:lineRule="atLeast"/>
        <w:ind w:left="0" w:right="0" w:firstLine="420"/>
        <w:jc w:val="both"/>
      </w:pPr>
      <w:r>
        <w:rPr>
          <w:rFonts w:hint="eastAsia" w:ascii="黑体" w:hAnsi="宋体" w:eastAsia="黑体" w:cs="黑体"/>
          <w:sz w:val="31"/>
          <w:szCs w:val="31"/>
          <w:shd w:val="clear" w:fill="FFFFFF"/>
        </w:rPr>
        <w:t>六、其他需要报告的事项</w:t>
      </w:r>
    </w:p>
    <w:p>
      <w:pPr>
        <w:pStyle w:val="2"/>
        <w:keepNext w:val="0"/>
        <w:keepLines w:val="0"/>
        <w:widowControl/>
        <w:suppressLineNumbers w:val="0"/>
        <w:spacing w:before="0" w:beforeAutospacing="0" w:after="0" w:afterAutospacing="0" w:line="510" w:lineRule="atLeast"/>
        <w:ind w:left="0" w:right="0" w:firstLine="480"/>
        <w:rPr>
          <w:sz w:val="21"/>
          <w:szCs w:val="21"/>
        </w:rPr>
      </w:pPr>
      <w:r>
        <w:rPr>
          <w:rFonts w:hint="eastAsia" w:ascii="仿宋_GB2312" w:eastAsia="仿宋_GB2312" w:cs="仿宋_GB2312"/>
          <w:sz w:val="31"/>
          <w:szCs w:val="31"/>
        </w:rPr>
        <w:t>根据国务院办公厅印发的《政府信息公开信息处理费管理办法》和浙江省政府办公厅、宁波市政府办公厅关于政府信息公开信息处理费收取工作的有关规定，本机关全年没有收到超出一定数量或者频次范围的政府信息公开申请，也未对申请人收取信息处理费。特此说明。</w:t>
      </w:r>
    </w:p>
    <w:p>
      <w:pPr>
        <w:pStyle w:val="2"/>
        <w:keepNext w:val="0"/>
        <w:keepLines w:val="0"/>
        <w:widowControl/>
        <w:suppressLineNumbers w:val="0"/>
        <w:spacing w:before="0" w:beforeAutospacing="0" w:after="0" w:afterAutospacing="0" w:line="420" w:lineRule="atLeast"/>
        <w:ind w:left="0" w:right="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9F0E7A"/>
    <w:rsid w:val="7A9F0E7A"/>
    <w:rsid w:val="7AF635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2023-02-07T06:29:00Z</dcterms:created>
  <dc:creator>Administrator</dc:creator>
  <cp:lastModifiedBy>Administrator</cp:lastModifiedBy>
  <dcterms:modified xsi:type="dcterms:W3CDTF">2023-02-09T01:46:47Z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