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olor w:val="auto"/>
          <w:sz w:val="32"/>
          <w:szCs w:val="32"/>
        </w:rPr>
      </w:pPr>
      <w:r>
        <w:rPr>
          <w:rFonts w:hint="eastAsia" w:ascii="方正小标宋简体" w:hAnsi="方正小标宋简体" w:eastAsia="方正小标宋简体" w:cs="方正小标宋简体"/>
          <w:color w:val="auto"/>
          <w:sz w:val="32"/>
          <w:szCs w:val="32"/>
        </w:rPr>
        <w:t>宁波市北仑区司法局20</w:t>
      </w:r>
      <w:r>
        <w:rPr>
          <w:rFonts w:hint="eastAsia" w:ascii="方正小标宋简体" w:hAnsi="方正小标宋简体" w:eastAsia="方正小标宋简体" w:cs="方正小标宋简体"/>
          <w:color w:val="auto"/>
          <w:sz w:val="32"/>
          <w:szCs w:val="32"/>
          <w:lang w:val="en-US" w:eastAsia="zh-CN"/>
        </w:rPr>
        <w:t>21</w:t>
      </w:r>
      <w:r>
        <w:rPr>
          <w:rFonts w:hint="eastAsia" w:ascii="方正小标宋简体" w:hAnsi="方正小标宋简体" w:eastAsia="方正小标宋简体" w:cs="方正小标宋简体"/>
          <w:color w:val="auto"/>
          <w:sz w:val="32"/>
          <w:szCs w:val="32"/>
        </w:rPr>
        <w:t>年度政府信息公开年度报告</w:t>
      </w:r>
    </w:p>
    <w:p>
      <w:pPr>
        <w:rPr>
          <w:rFonts w:hint="eastAsia"/>
          <w:color w:val="auto"/>
        </w:rPr>
      </w:pPr>
    </w:p>
    <w:p>
      <w:pPr>
        <w:pStyle w:val="4"/>
        <w:widowControl/>
        <w:shd w:val="clear" w:color="auto" w:fill="FFFFFF"/>
        <w:spacing w:before="0" w:beforeAutospacing="0" w:after="0" w:afterAutospacing="0" w:line="480" w:lineRule="atLeast"/>
        <w:ind w:firstLine="640" w:firstLineChars="200"/>
        <w:rPr>
          <w:rFonts w:ascii="微软雅黑" w:hAnsi="微软雅黑" w:eastAsia="微软雅黑" w:cs="微软雅黑"/>
          <w:color w:val="auto"/>
          <w:sz w:val="32"/>
          <w:szCs w:val="32"/>
        </w:rPr>
      </w:pPr>
      <w:r>
        <w:rPr>
          <w:rFonts w:hint="eastAsia" w:ascii="黑体" w:hAnsi="黑体" w:eastAsia="黑体" w:cs="黑体"/>
          <w:color w:val="auto"/>
          <w:sz w:val="32"/>
          <w:szCs w:val="32"/>
          <w:shd w:val="clear" w:color="auto" w:fill="FFFFFF"/>
        </w:rPr>
        <w:t>一、总体情况</w:t>
      </w:r>
    </w:p>
    <w:p>
      <w:pPr>
        <w:pStyle w:val="4"/>
        <w:widowControl/>
        <w:shd w:val="clear" w:color="auto" w:fill="FFFFFF"/>
        <w:spacing w:before="0" w:beforeAutospacing="0" w:after="0" w:afterAutospacing="0" w:line="480" w:lineRule="atLeast"/>
        <w:rPr>
          <w:rFonts w:hint="eastAsia" w:ascii="仿宋_GB2312" w:hAnsi="仿宋_GB2312" w:eastAsia="仿宋_GB2312" w:cs="仿宋_GB2312"/>
          <w:color w:val="auto"/>
          <w:sz w:val="32"/>
          <w:szCs w:val="32"/>
          <w:shd w:val="clear" w:color="auto" w:fill="FFFFFF"/>
        </w:rPr>
      </w:pPr>
      <w:r>
        <w:rPr>
          <w:rFonts w:hint="eastAsia" w:ascii="微软雅黑" w:hAnsi="微软雅黑" w:eastAsia="微软雅黑" w:cs="微软雅黑"/>
          <w:color w:val="auto"/>
          <w:sz w:val="21"/>
          <w:szCs w:val="21"/>
          <w:shd w:val="clear" w:color="auto" w:fill="FFFFFF"/>
        </w:rPr>
        <w:t xml:space="preserve">    </w:t>
      </w:r>
      <w:r>
        <w:rPr>
          <w:rFonts w:hint="eastAsia" w:ascii="微软雅黑" w:hAnsi="微软雅黑" w:eastAsia="微软雅黑" w:cs="微软雅黑"/>
          <w:color w:val="auto"/>
          <w:sz w:val="21"/>
          <w:szCs w:val="21"/>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rPr>
        <w:t>20</w:t>
      </w:r>
      <w:r>
        <w:rPr>
          <w:rFonts w:hint="eastAsia" w:ascii="仿宋_GB2312" w:hAnsi="仿宋_GB2312" w:eastAsia="仿宋_GB2312" w:cs="仿宋_GB2312"/>
          <w:color w:val="auto"/>
          <w:sz w:val="32"/>
          <w:szCs w:val="32"/>
          <w:shd w:val="clear" w:color="auto" w:fill="FFFFFF"/>
          <w:lang w:val="en-US" w:eastAsia="zh-CN"/>
        </w:rPr>
        <w:t>21</w:t>
      </w:r>
      <w:r>
        <w:rPr>
          <w:rFonts w:hint="eastAsia" w:ascii="仿宋_GB2312" w:hAnsi="仿宋_GB2312" w:eastAsia="仿宋_GB2312" w:cs="仿宋_GB2312"/>
          <w:color w:val="auto"/>
          <w:sz w:val="32"/>
          <w:szCs w:val="32"/>
          <w:shd w:val="clear" w:color="auto" w:fill="FFFFFF"/>
        </w:rPr>
        <w:t>年，</w:t>
      </w:r>
      <w:r>
        <w:rPr>
          <w:rFonts w:hint="eastAsia" w:ascii="仿宋_GB2312" w:hAnsi="宋体" w:eastAsia="仿宋_GB2312" w:cs="仿宋_GB2312"/>
          <w:i w:val="0"/>
          <w:iCs w:val="0"/>
          <w:caps w:val="0"/>
          <w:color w:val="auto"/>
          <w:spacing w:val="0"/>
          <w:sz w:val="31"/>
          <w:szCs w:val="31"/>
          <w:lang w:eastAsia="zh-CN"/>
        </w:rPr>
        <w:t>区</w:t>
      </w:r>
      <w:r>
        <w:rPr>
          <w:rFonts w:hint="eastAsia" w:ascii="仿宋_GB2312" w:hAnsi="宋体" w:eastAsia="仿宋_GB2312" w:cs="仿宋_GB2312"/>
          <w:i w:val="0"/>
          <w:iCs w:val="0"/>
          <w:caps w:val="0"/>
          <w:color w:val="auto"/>
          <w:spacing w:val="0"/>
          <w:sz w:val="31"/>
          <w:szCs w:val="31"/>
        </w:rPr>
        <w:t>司法局紧紧围绕</w:t>
      </w:r>
      <w:r>
        <w:rPr>
          <w:rFonts w:hint="eastAsia" w:ascii="仿宋_GB2312" w:hAnsi="宋体" w:eastAsia="仿宋_GB2312" w:cs="仿宋_GB2312"/>
          <w:i w:val="0"/>
          <w:iCs w:val="0"/>
          <w:caps w:val="0"/>
          <w:color w:val="auto"/>
          <w:spacing w:val="0"/>
          <w:sz w:val="31"/>
          <w:szCs w:val="31"/>
          <w:lang w:eastAsia="zh-CN"/>
        </w:rPr>
        <w:t>区</w:t>
      </w:r>
      <w:r>
        <w:rPr>
          <w:rFonts w:hint="eastAsia" w:ascii="仿宋_GB2312" w:hAnsi="宋体" w:eastAsia="仿宋_GB2312" w:cs="仿宋_GB2312"/>
          <w:i w:val="0"/>
          <w:iCs w:val="0"/>
          <w:caps w:val="0"/>
          <w:color w:val="auto"/>
          <w:spacing w:val="0"/>
          <w:sz w:val="31"/>
          <w:szCs w:val="31"/>
        </w:rPr>
        <w:t>委</w:t>
      </w:r>
      <w:r>
        <w:rPr>
          <w:rFonts w:hint="eastAsia" w:ascii="仿宋_GB2312" w:hAnsi="宋体" w:eastAsia="仿宋_GB2312" w:cs="仿宋_GB2312"/>
          <w:i w:val="0"/>
          <w:iCs w:val="0"/>
          <w:caps w:val="0"/>
          <w:color w:val="auto"/>
          <w:spacing w:val="0"/>
          <w:sz w:val="31"/>
          <w:szCs w:val="31"/>
          <w:lang w:eastAsia="zh-CN"/>
        </w:rPr>
        <w:t>区</w:t>
      </w:r>
      <w:r>
        <w:rPr>
          <w:rFonts w:hint="eastAsia" w:ascii="仿宋_GB2312" w:hAnsi="宋体" w:eastAsia="仿宋_GB2312" w:cs="仿宋_GB2312"/>
          <w:i w:val="0"/>
          <w:iCs w:val="0"/>
          <w:caps w:val="0"/>
          <w:color w:val="auto"/>
          <w:spacing w:val="0"/>
          <w:sz w:val="31"/>
          <w:szCs w:val="31"/>
        </w:rPr>
        <w:t>政府中心工作，认真贯彻落实《中华人民共和国政府信息公开条例》，强化组织建设、完善工作机制、拓宽公开渠道，认真回应公开申请，加强政策解读，细化公开内容，工作透明度、规范化、法治化水平进一步提升，现将一年来信息公开工作总结如下：</w:t>
      </w:r>
    </w:p>
    <w:p>
      <w:pPr>
        <w:pStyle w:val="4"/>
        <w:widowControl/>
        <w:shd w:val="clear" w:color="auto" w:fill="FFFFFF"/>
        <w:spacing w:before="0" w:beforeAutospacing="0" w:after="0" w:afterAutospacing="0" w:line="480" w:lineRule="atLeast"/>
        <w:ind w:firstLine="620" w:firstLineChars="200"/>
        <w:rPr>
          <w:rFonts w:hint="eastAsia" w:ascii="仿宋_GB2312" w:hAnsi="仿宋_GB2312" w:eastAsia="仿宋_GB2312" w:cs="仿宋_GB2312"/>
          <w:color w:val="auto"/>
          <w:sz w:val="32"/>
          <w:szCs w:val="32"/>
        </w:rPr>
      </w:pPr>
      <w:r>
        <w:rPr>
          <w:rFonts w:hint="eastAsia" w:ascii="楷体_GB2312" w:hAnsi="楷体_GB2312" w:eastAsia="楷体_GB2312" w:cs="楷体_GB2312"/>
          <w:i w:val="0"/>
          <w:iCs w:val="0"/>
          <w:caps w:val="0"/>
          <w:color w:val="auto"/>
          <w:spacing w:val="0"/>
          <w:sz w:val="31"/>
          <w:szCs w:val="31"/>
          <w:shd w:val="clear" w:fill="FFFFFF"/>
        </w:rPr>
        <w:t>（一）主动公开情况。</w:t>
      </w:r>
      <w:r>
        <w:rPr>
          <w:rFonts w:ascii="仿宋_GB2312" w:hAnsi="微软雅黑" w:eastAsia="仿宋_GB2312" w:cs="仿宋_GB2312"/>
          <w:i w:val="0"/>
          <w:iCs w:val="0"/>
          <w:caps w:val="0"/>
          <w:color w:val="auto"/>
          <w:spacing w:val="0"/>
          <w:sz w:val="31"/>
          <w:szCs w:val="31"/>
          <w:shd w:val="clear" w:fill="FFFFFF"/>
        </w:rPr>
        <w:t>202</w:t>
      </w:r>
      <w:r>
        <w:rPr>
          <w:rFonts w:hint="eastAsia" w:ascii="仿宋_GB2312" w:hAnsi="微软雅黑" w:eastAsia="仿宋_GB2312" w:cs="仿宋_GB2312"/>
          <w:i w:val="0"/>
          <w:iCs w:val="0"/>
          <w:caps w:val="0"/>
          <w:color w:val="auto"/>
          <w:spacing w:val="0"/>
          <w:sz w:val="31"/>
          <w:szCs w:val="31"/>
          <w:shd w:val="clear" w:fill="FFFFFF"/>
          <w:lang w:val="en-US" w:eastAsia="zh-CN"/>
        </w:rPr>
        <w:t>1</w:t>
      </w:r>
      <w:r>
        <w:rPr>
          <w:rFonts w:ascii="仿宋_GB2312" w:hAnsi="微软雅黑" w:eastAsia="仿宋_GB2312" w:cs="仿宋_GB2312"/>
          <w:i w:val="0"/>
          <w:iCs w:val="0"/>
          <w:caps w:val="0"/>
          <w:color w:val="auto"/>
          <w:spacing w:val="0"/>
          <w:sz w:val="31"/>
          <w:szCs w:val="31"/>
          <w:shd w:val="clear" w:fill="FFFFFF"/>
        </w:rPr>
        <w:t>年，</w:t>
      </w:r>
      <w:r>
        <w:rPr>
          <w:rFonts w:hint="eastAsia" w:ascii="仿宋_GB2312" w:hAnsi="仿宋_GB2312" w:eastAsia="仿宋_GB2312" w:cs="仿宋_GB2312"/>
          <w:color w:val="auto"/>
          <w:sz w:val="32"/>
          <w:szCs w:val="32"/>
          <w:shd w:val="clear" w:color="auto" w:fill="FFFFFF"/>
        </w:rPr>
        <w:t>我局主动公开政府信息</w:t>
      </w:r>
      <w:r>
        <w:rPr>
          <w:rFonts w:hint="eastAsia" w:ascii="仿宋_GB2312" w:hAnsi="仿宋_GB2312" w:eastAsia="仿宋_GB2312" w:cs="仿宋_GB2312"/>
          <w:color w:val="auto"/>
          <w:sz w:val="32"/>
          <w:szCs w:val="32"/>
          <w:shd w:val="clear" w:color="auto" w:fill="FFFFFF"/>
          <w:lang w:val="en-US" w:eastAsia="zh-CN"/>
        </w:rPr>
        <w:t>665</w:t>
      </w:r>
      <w:r>
        <w:rPr>
          <w:rFonts w:hint="eastAsia" w:ascii="仿宋_GB2312" w:hAnsi="仿宋_GB2312" w:eastAsia="仿宋_GB2312" w:cs="仿宋_GB2312"/>
          <w:color w:val="auto"/>
          <w:sz w:val="32"/>
          <w:szCs w:val="32"/>
          <w:shd w:val="clear" w:color="auto" w:fill="FFFFFF"/>
        </w:rPr>
        <w:t>条。主要类别有法规公文、工作信息、人事信息、财政信息等，其中</w:t>
      </w:r>
      <w:r>
        <w:rPr>
          <w:rFonts w:hint="eastAsia" w:ascii="仿宋_GB2312" w:hAnsi="仿宋_GB2312" w:eastAsia="仿宋_GB2312" w:cs="仿宋_GB2312"/>
          <w:color w:val="auto"/>
          <w:sz w:val="32"/>
          <w:szCs w:val="32"/>
          <w:shd w:val="clear" w:color="auto" w:fill="FFFFFF"/>
          <w:lang w:eastAsia="zh-CN"/>
        </w:rPr>
        <w:t>通过政府网站</w:t>
      </w:r>
      <w:r>
        <w:rPr>
          <w:rFonts w:hint="eastAsia" w:ascii="仿宋_GB2312" w:hAnsi="仿宋_GB2312" w:eastAsia="仿宋_GB2312" w:cs="仿宋_GB2312"/>
          <w:color w:val="auto"/>
          <w:sz w:val="32"/>
          <w:szCs w:val="32"/>
          <w:shd w:val="clear" w:color="auto" w:fill="FFFFFF"/>
        </w:rPr>
        <w:t>主动公开工作信息</w:t>
      </w:r>
      <w:r>
        <w:rPr>
          <w:rFonts w:hint="eastAsia" w:ascii="仿宋_GB2312" w:hAnsi="仿宋_GB2312" w:eastAsia="仿宋_GB2312" w:cs="仿宋_GB2312"/>
          <w:color w:val="auto"/>
          <w:sz w:val="32"/>
          <w:szCs w:val="32"/>
          <w:shd w:val="clear" w:color="auto" w:fill="FFFFFF"/>
          <w:lang w:val="en-US" w:eastAsia="zh-CN"/>
        </w:rPr>
        <w:t>164</w:t>
      </w:r>
      <w:r>
        <w:rPr>
          <w:rFonts w:hint="eastAsia" w:ascii="仿宋_GB2312" w:hAnsi="仿宋_GB2312" w:eastAsia="仿宋_GB2312" w:cs="仿宋_GB2312"/>
          <w:color w:val="auto"/>
          <w:sz w:val="32"/>
          <w:szCs w:val="32"/>
          <w:shd w:val="clear" w:color="auto" w:fill="FFFFFF"/>
        </w:rPr>
        <w:t>条，人事信息</w:t>
      </w:r>
      <w:r>
        <w:rPr>
          <w:rFonts w:hint="eastAsia" w:ascii="仿宋_GB2312" w:hAnsi="仿宋_GB2312" w:eastAsia="仿宋_GB2312" w:cs="仿宋_GB2312"/>
          <w:color w:val="auto"/>
          <w:sz w:val="32"/>
          <w:szCs w:val="32"/>
          <w:shd w:val="clear" w:color="auto" w:fill="FFFFFF"/>
          <w:lang w:val="en-US" w:eastAsia="zh-CN"/>
        </w:rPr>
        <w:t>3</w:t>
      </w:r>
      <w:r>
        <w:rPr>
          <w:rFonts w:hint="eastAsia" w:ascii="仿宋_GB2312" w:hAnsi="仿宋_GB2312" w:eastAsia="仿宋_GB2312" w:cs="仿宋_GB2312"/>
          <w:color w:val="auto"/>
          <w:sz w:val="32"/>
          <w:szCs w:val="32"/>
          <w:shd w:val="clear" w:color="auto" w:fill="FFFFFF"/>
        </w:rPr>
        <w:t>条、财政信息2条</w:t>
      </w:r>
      <w:r>
        <w:rPr>
          <w:rFonts w:hint="eastAsia" w:ascii="仿宋_GB2312" w:hAnsi="仿宋_GB2312" w:eastAsia="仿宋_GB2312" w:cs="仿宋_GB2312"/>
          <w:color w:val="auto"/>
          <w:sz w:val="32"/>
          <w:szCs w:val="32"/>
          <w:shd w:val="clear" w:color="auto" w:fill="FFFFFF"/>
          <w:lang w:eastAsia="zh-CN"/>
        </w:rPr>
        <w:t>，通过政务微博主动公开信息</w:t>
      </w:r>
      <w:r>
        <w:rPr>
          <w:rFonts w:hint="eastAsia" w:ascii="仿宋_GB2312" w:hAnsi="仿宋_GB2312" w:eastAsia="仿宋_GB2312" w:cs="仿宋_GB2312"/>
          <w:color w:val="auto"/>
          <w:sz w:val="32"/>
          <w:szCs w:val="32"/>
          <w:shd w:val="clear" w:color="auto" w:fill="FFFFFF"/>
          <w:lang w:val="en-US" w:eastAsia="zh-CN"/>
        </w:rPr>
        <w:t>89条，通过政务微信主动公开信息610条</w:t>
      </w:r>
      <w:r>
        <w:rPr>
          <w:rFonts w:hint="eastAsia" w:ascii="仿宋_GB2312" w:hAnsi="仿宋_GB2312" w:eastAsia="仿宋_GB2312" w:cs="仿宋_GB2312"/>
          <w:color w:val="auto"/>
          <w:sz w:val="32"/>
          <w:szCs w:val="32"/>
          <w:shd w:val="clear" w:color="auto"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735"/>
        <w:jc w:val="both"/>
        <w:rPr>
          <w:rFonts w:hint="eastAsia" w:ascii="微软雅黑" w:hAnsi="微软雅黑" w:eastAsia="微软雅黑" w:cs="微软雅黑"/>
          <w:i w:val="0"/>
          <w:iCs w:val="0"/>
          <w:caps w:val="0"/>
          <w:color w:val="auto"/>
          <w:spacing w:val="0"/>
          <w:sz w:val="24"/>
          <w:szCs w:val="24"/>
        </w:rPr>
      </w:pPr>
      <w:r>
        <w:rPr>
          <w:rFonts w:hint="eastAsia" w:ascii="楷体_GB2312" w:hAnsi="楷体_GB2312" w:eastAsia="楷体_GB2312" w:cs="楷体_GB2312"/>
          <w:i w:val="0"/>
          <w:iCs w:val="0"/>
          <w:caps w:val="0"/>
          <w:color w:val="auto"/>
          <w:spacing w:val="0"/>
          <w:sz w:val="31"/>
          <w:szCs w:val="31"/>
          <w:shd w:val="clear" w:fill="FFFFFF"/>
        </w:rPr>
        <w:t>（二）依申请公开情况。</w:t>
      </w:r>
      <w:r>
        <w:rPr>
          <w:rFonts w:hint="eastAsia" w:ascii="仿宋_GB2312" w:hAnsi="微软雅黑" w:eastAsia="仿宋_GB2312" w:cs="仿宋_GB2312"/>
          <w:i w:val="0"/>
          <w:iCs w:val="0"/>
          <w:caps w:val="0"/>
          <w:color w:val="auto"/>
          <w:spacing w:val="0"/>
          <w:sz w:val="31"/>
          <w:szCs w:val="31"/>
          <w:shd w:val="clear" w:fill="FFFFFF"/>
        </w:rPr>
        <w:t>202</w:t>
      </w:r>
      <w:r>
        <w:rPr>
          <w:rFonts w:hint="eastAsia" w:ascii="仿宋_GB2312" w:hAnsi="微软雅黑" w:eastAsia="仿宋_GB2312" w:cs="仿宋_GB2312"/>
          <w:i w:val="0"/>
          <w:iCs w:val="0"/>
          <w:caps w:val="0"/>
          <w:color w:val="auto"/>
          <w:spacing w:val="0"/>
          <w:sz w:val="31"/>
          <w:szCs w:val="31"/>
          <w:shd w:val="clear" w:fill="FFFFFF"/>
          <w:lang w:val="en-US" w:eastAsia="zh-CN"/>
        </w:rPr>
        <w:t>1</w:t>
      </w:r>
      <w:r>
        <w:rPr>
          <w:rFonts w:hint="eastAsia" w:ascii="仿宋_GB2312" w:hAnsi="微软雅黑" w:eastAsia="仿宋_GB2312" w:cs="仿宋_GB2312"/>
          <w:i w:val="0"/>
          <w:iCs w:val="0"/>
          <w:caps w:val="0"/>
          <w:color w:val="auto"/>
          <w:spacing w:val="0"/>
          <w:sz w:val="31"/>
          <w:szCs w:val="31"/>
          <w:shd w:val="clear" w:fill="FFFFFF"/>
        </w:rPr>
        <w:t>年，我局共收到信息公开申请</w:t>
      </w:r>
      <w:r>
        <w:rPr>
          <w:rFonts w:hint="eastAsia" w:ascii="仿宋_GB2312" w:hAnsi="微软雅黑" w:eastAsia="仿宋_GB2312" w:cs="仿宋_GB2312"/>
          <w:i w:val="0"/>
          <w:iCs w:val="0"/>
          <w:caps w:val="0"/>
          <w:color w:val="auto"/>
          <w:spacing w:val="0"/>
          <w:sz w:val="31"/>
          <w:szCs w:val="31"/>
          <w:shd w:val="clear" w:fill="FFFFFF"/>
          <w:lang w:val="en-US" w:eastAsia="zh-CN"/>
        </w:rPr>
        <w:t>0</w:t>
      </w:r>
      <w:r>
        <w:rPr>
          <w:rFonts w:hint="eastAsia" w:ascii="仿宋_GB2312" w:hAnsi="微软雅黑" w:eastAsia="仿宋_GB2312" w:cs="仿宋_GB2312"/>
          <w:i w:val="0"/>
          <w:iCs w:val="0"/>
          <w:caps w:val="0"/>
          <w:color w:val="auto"/>
          <w:spacing w:val="0"/>
          <w:sz w:val="31"/>
          <w:szCs w:val="31"/>
          <w:shd w:val="clear" w:fill="FFFFFF"/>
        </w:rPr>
        <w:t>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735"/>
        <w:jc w:val="both"/>
        <w:rPr>
          <w:rFonts w:hint="eastAsia" w:ascii="微软雅黑" w:hAnsi="微软雅黑" w:eastAsia="微软雅黑" w:cs="微软雅黑"/>
          <w:i w:val="0"/>
          <w:iCs w:val="0"/>
          <w:caps w:val="0"/>
          <w:color w:val="auto"/>
          <w:spacing w:val="0"/>
          <w:sz w:val="24"/>
          <w:szCs w:val="24"/>
        </w:rPr>
      </w:pPr>
      <w:r>
        <w:rPr>
          <w:rFonts w:hint="eastAsia" w:ascii="楷体_GB2312" w:hAnsi="楷体_GB2312" w:eastAsia="楷体_GB2312" w:cs="楷体_GB2312"/>
          <w:i w:val="0"/>
          <w:iCs w:val="0"/>
          <w:caps w:val="0"/>
          <w:color w:val="auto"/>
          <w:spacing w:val="0"/>
          <w:sz w:val="31"/>
          <w:szCs w:val="31"/>
          <w:shd w:val="clear" w:fill="FFFFFF"/>
        </w:rPr>
        <w:t>（三）政府信息管理情况。</w:t>
      </w:r>
      <w:r>
        <w:rPr>
          <w:rFonts w:hint="eastAsia" w:ascii="仿宋_GB2312" w:hAnsi="微软雅黑" w:eastAsia="仿宋_GB2312" w:cs="仿宋_GB2312"/>
          <w:i w:val="0"/>
          <w:iCs w:val="0"/>
          <w:caps w:val="0"/>
          <w:color w:val="auto"/>
          <w:spacing w:val="0"/>
          <w:sz w:val="31"/>
          <w:szCs w:val="31"/>
          <w:shd w:val="clear" w:fill="FFFFFF"/>
        </w:rPr>
        <w:t>明确政务公开原则、内容、形式以及网上政务咨询投诉平台办理流程、时限等，确保全局政务公开工作做到有章可循、规范落实。在日常工作中，由</w:t>
      </w:r>
      <w:r>
        <w:rPr>
          <w:rFonts w:hint="eastAsia" w:ascii="仿宋_GB2312" w:hAnsi="微软雅黑" w:eastAsia="仿宋_GB2312" w:cs="仿宋_GB2312"/>
          <w:i w:val="0"/>
          <w:iCs w:val="0"/>
          <w:caps w:val="0"/>
          <w:color w:val="auto"/>
          <w:spacing w:val="0"/>
          <w:sz w:val="31"/>
          <w:szCs w:val="31"/>
          <w:shd w:val="clear" w:fill="FFFFFF"/>
          <w:lang w:eastAsia="zh-CN"/>
        </w:rPr>
        <w:t>综合科</w:t>
      </w:r>
      <w:r>
        <w:rPr>
          <w:rFonts w:hint="eastAsia" w:ascii="仿宋_GB2312" w:hAnsi="微软雅黑" w:eastAsia="仿宋_GB2312" w:cs="仿宋_GB2312"/>
          <w:i w:val="0"/>
          <w:iCs w:val="0"/>
          <w:caps w:val="0"/>
          <w:color w:val="auto"/>
          <w:spacing w:val="0"/>
          <w:sz w:val="31"/>
          <w:szCs w:val="31"/>
          <w:shd w:val="clear" w:fill="FFFFFF"/>
        </w:rPr>
        <w:t>主动收集各业务线上产生的政府信息，根据政府信息公开审查机制，将不宜公开的事项，依法进行存档、保管。经审查依法应当公开的事项，及时准确向社会公开，确保政府信息规范管理。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735"/>
        <w:jc w:val="both"/>
        <w:rPr>
          <w:rFonts w:hint="eastAsia" w:ascii="微软雅黑" w:hAnsi="微软雅黑" w:eastAsia="微软雅黑" w:cs="微软雅黑"/>
          <w:i w:val="0"/>
          <w:iCs w:val="0"/>
          <w:caps w:val="0"/>
          <w:color w:val="auto"/>
          <w:spacing w:val="0"/>
          <w:sz w:val="24"/>
          <w:szCs w:val="24"/>
        </w:rPr>
      </w:pPr>
      <w:r>
        <w:rPr>
          <w:rFonts w:hint="eastAsia" w:ascii="楷体_GB2312" w:hAnsi="楷体_GB2312" w:eastAsia="楷体_GB2312" w:cs="楷体_GB2312"/>
          <w:i w:val="0"/>
          <w:iCs w:val="0"/>
          <w:caps w:val="0"/>
          <w:color w:val="auto"/>
          <w:spacing w:val="0"/>
          <w:sz w:val="31"/>
          <w:szCs w:val="31"/>
          <w:shd w:val="clear" w:fill="FFFFFF"/>
        </w:rPr>
        <w:t>（四）平台保障情况。</w:t>
      </w:r>
      <w:r>
        <w:rPr>
          <w:rFonts w:hint="eastAsia" w:ascii="仿宋_GB2312" w:hAnsi="微软雅黑" w:eastAsia="仿宋_GB2312" w:cs="仿宋_GB2312"/>
          <w:i w:val="0"/>
          <w:iCs w:val="0"/>
          <w:caps w:val="0"/>
          <w:color w:val="auto"/>
          <w:spacing w:val="0"/>
          <w:sz w:val="31"/>
          <w:szCs w:val="31"/>
          <w:shd w:val="clear" w:fill="FFFFFF"/>
        </w:rPr>
        <w:t>加强信息公开平台建设，拓展信息公开渠道、优化发布形式，线上建立了以政府信息公开专栏、“</w:t>
      </w:r>
      <w:r>
        <w:rPr>
          <w:rFonts w:hint="eastAsia" w:ascii="仿宋_GB2312" w:hAnsi="微软雅黑" w:eastAsia="仿宋_GB2312" w:cs="仿宋_GB2312"/>
          <w:i w:val="0"/>
          <w:iCs w:val="0"/>
          <w:caps w:val="0"/>
          <w:color w:val="auto"/>
          <w:spacing w:val="0"/>
          <w:sz w:val="31"/>
          <w:szCs w:val="31"/>
          <w:shd w:val="clear" w:fill="FFFFFF"/>
          <w:lang w:eastAsia="zh-CN"/>
        </w:rPr>
        <w:t>法治北仑</w:t>
      </w:r>
      <w:r>
        <w:rPr>
          <w:rFonts w:hint="eastAsia" w:ascii="仿宋_GB2312" w:hAnsi="微软雅黑" w:eastAsia="仿宋_GB2312" w:cs="仿宋_GB2312"/>
          <w:i w:val="0"/>
          <w:iCs w:val="0"/>
          <w:caps w:val="0"/>
          <w:color w:val="auto"/>
          <w:spacing w:val="0"/>
          <w:sz w:val="31"/>
          <w:szCs w:val="31"/>
          <w:shd w:val="clear" w:fill="FFFFFF"/>
        </w:rPr>
        <w:t>”微信公众号为主体，其他新媒体平台多渠道公开的信息公开发布网络，线下加强信息公开查询点建设，方便群众及时查询信息。</w:t>
      </w:r>
    </w:p>
    <w:p>
      <w:pPr>
        <w:pStyle w:val="4"/>
        <w:widowControl/>
        <w:shd w:val="clear" w:color="auto" w:fill="FFFFFF"/>
        <w:spacing w:before="0" w:beforeAutospacing="0" w:after="0" w:afterAutospacing="0" w:line="480" w:lineRule="atLeast"/>
        <w:ind w:firstLine="620" w:firstLineChars="200"/>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i w:val="0"/>
          <w:iCs w:val="0"/>
          <w:caps w:val="0"/>
          <w:color w:val="auto"/>
          <w:spacing w:val="0"/>
          <w:sz w:val="31"/>
          <w:szCs w:val="31"/>
          <w:shd w:val="clear" w:fill="FFFFFF"/>
        </w:rPr>
        <w:t>（五）监督保障情况。</w:t>
      </w:r>
      <w:r>
        <w:rPr>
          <w:rFonts w:hint="eastAsia" w:ascii="仿宋_GB2312" w:hAnsi="微软雅黑" w:eastAsia="仿宋_GB2312" w:cs="仿宋_GB2312"/>
          <w:i w:val="0"/>
          <w:iCs w:val="0"/>
          <w:caps w:val="0"/>
          <w:color w:val="auto"/>
          <w:spacing w:val="0"/>
          <w:sz w:val="31"/>
          <w:szCs w:val="31"/>
          <w:shd w:val="clear" w:fill="FFFFFF"/>
        </w:rPr>
        <w:t>日常加强信息发布的自查整改，对照信息公开网络测评要求，对发现的问题立即整改到位。强化专项检查，根据第三方测评反馈清单，及时制定整改措施，落实整改。</w:t>
      </w:r>
      <w:r>
        <w:rPr>
          <w:rFonts w:hint="eastAsia" w:ascii="仿宋_GB2312" w:hAnsi="微软雅黑" w:eastAsia="仿宋_GB2312" w:cs="仿宋_GB2312"/>
          <w:i w:val="0"/>
          <w:iCs w:val="0"/>
          <w:caps w:val="0"/>
          <w:color w:val="auto"/>
          <w:spacing w:val="0"/>
          <w:sz w:val="31"/>
          <w:szCs w:val="31"/>
          <w:shd w:val="clear" w:fill="FFFFFF"/>
          <w:lang w:eastAsia="zh-CN"/>
        </w:rPr>
        <w:t>全年没有发生因政务公开工作被追究责任的情况。</w:t>
      </w:r>
      <w:bookmarkStart w:id="0" w:name="_GoBack"/>
      <w:bookmarkEnd w:id="0"/>
    </w:p>
    <w:p>
      <w:pPr>
        <w:pStyle w:val="4"/>
        <w:keepNext w:val="0"/>
        <w:keepLines w:val="0"/>
        <w:widowControl/>
        <w:suppressLineNumbers w:val="0"/>
        <w:spacing w:before="0" w:beforeAutospacing="0" w:after="0" w:afterAutospacing="0" w:line="432" w:lineRule="auto"/>
        <w:ind w:left="0" w:firstLine="420"/>
        <w:jc w:val="both"/>
        <w:rPr>
          <w:rFonts w:hint="eastAsia" w:ascii="黑体" w:hAnsi="黑体" w:eastAsia="黑体" w:cs="黑体"/>
          <w:b w:val="0"/>
          <w:bCs/>
          <w:sz w:val="32"/>
          <w:szCs w:val="32"/>
        </w:rPr>
      </w:pPr>
      <w:r>
        <w:rPr>
          <w:rFonts w:hint="eastAsia" w:ascii="黑体" w:hAnsi="黑体" w:eastAsia="黑体" w:cs="黑体"/>
          <w:b w:val="0"/>
          <w:bCs/>
          <w:color w:val="333333"/>
          <w:sz w:val="32"/>
          <w:szCs w:val="32"/>
        </w:rPr>
        <w:t>二、主动公开政府信息情况</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89"/>
        <w:gridCol w:w="2188"/>
        <w:gridCol w:w="2189"/>
        <w:gridCol w:w="2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color w:val="333333"/>
                <w:kern w:val="0"/>
                <w:sz w:val="20"/>
                <w:szCs w:val="20"/>
                <w:lang w:val="en-US" w:eastAsia="zh-CN" w:bidi="ar"/>
              </w:rPr>
              <w:t>制发件数</w:t>
            </w:r>
          </w:p>
        </w:tc>
        <w:tc>
          <w:tcPr>
            <w:tcW w:w="2189" w:type="dxa"/>
            <w:tcBorders>
              <w:top w:val="single" w:color="auto" w:sz="8" w:space="0"/>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本年废止件数</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color w:val="333333"/>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规章</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cs="宋体"/>
                <w:color w:val="000000"/>
                <w:kern w:val="0"/>
                <w:sz w:val="20"/>
                <w:szCs w:val="20"/>
                <w:lang w:val="en-US" w:eastAsia="zh-CN" w:bidi="ar"/>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cs="宋体"/>
                <w:color w:val="000000"/>
                <w:kern w:val="0"/>
                <w:sz w:val="20"/>
                <w:szCs w:val="20"/>
                <w:lang w:val="en-US" w:eastAsia="zh-CN" w:bidi="ar"/>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cs="Calibri"/>
                <w:color w:val="333333"/>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行政规范性文件</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cs="宋体"/>
                <w:color w:val="000000"/>
                <w:kern w:val="0"/>
                <w:sz w:val="20"/>
                <w:szCs w:val="20"/>
                <w:lang w:val="en-US" w:eastAsia="zh-CN" w:bidi="ar"/>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cs="宋体"/>
                <w:color w:val="000000"/>
                <w:kern w:val="0"/>
                <w:sz w:val="20"/>
                <w:szCs w:val="20"/>
                <w:lang w:val="en-US" w:eastAsia="zh-CN" w:bidi="ar"/>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cs="Calibri"/>
                <w:color w:val="333333"/>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8" w:space="0"/>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行政许可</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cs="Calibri"/>
                <w:color w:val="333333"/>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行政处罚</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行政强制</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行政事业性收费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jc w:val="center"/>
              <w:rPr>
                <w:rFonts w:hint="eastAsia" w:ascii="宋体" w:hAnsi="宋体" w:eastAsia="宋体" w:cs="宋体"/>
                <w:color w:val="333333"/>
                <w:sz w:val="21"/>
                <w:szCs w:val="21"/>
                <w:lang w:val="en-US" w:eastAsia="zh-CN"/>
              </w:rPr>
            </w:pPr>
            <w:r>
              <w:rPr>
                <w:rFonts w:hint="eastAsia" w:ascii="宋体" w:hAnsi="宋体" w:cs="宋体"/>
                <w:color w:val="333333"/>
                <w:sz w:val="21"/>
                <w:szCs w:val="21"/>
                <w:lang w:val="en-US" w:eastAsia="zh-CN"/>
              </w:rPr>
              <w:t>0</w:t>
            </w:r>
          </w:p>
        </w:tc>
      </w:tr>
    </w:tbl>
    <w:p>
      <w:pPr>
        <w:pStyle w:val="4"/>
        <w:keepNext w:val="0"/>
        <w:keepLines w:val="0"/>
        <w:widowControl/>
        <w:suppressLineNumbers w:val="0"/>
        <w:spacing w:before="0" w:beforeAutospacing="0" w:after="0" w:afterAutospacing="0" w:line="432" w:lineRule="auto"/>
        <w:ind w:left="0" w:firstLine="420"/>
        <w:jc w:val="both"/>
        <w:rPr>
          <w:rFonts w:hint="eastAsia" w:ascii="黑体" w:hAnsi="黑体" w:eastAsia="黑体" w:cs="黑体"/>
          <w:b w:val="0"/>
          <w:bCs/>
          <w:color w:val="333333"/>
          <w:sz w:val="32"/>
          <w:szCs w:val="32"/>
        </w:rPr>
      </w:pPr>
      <w:r>
        <w:rPr>
          <w:rFonts w:hint="eastAsia" w:ascii="黑体" w:hAnsi="黑体" w:eastAsia="黑体" w:cs="黑体"/>
          <w:b w:val="0"/>
          <w:bCs/>
          <w:color w:val="333333"/>
          <w:sz w:val="32"/>
          <w:szCs w:val="32"/>
        </w:rPr>
        <w:t>三、收到和处理政府信息公开申请情况</w:t>
      </w:r>
    </w:p>
    <w:tbl>
      <w:tblPr>
        <w:tblStyle w:val="5"/>
        <w:tblW w:w="880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2956"/>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三、本年度办理结果</w:t>
            </w: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（二）部分公开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（三）不予公开</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1.属于国家秘密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3.危及“三安全一稳定”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4.保护第三方合法权益</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5.属于三类内部事务信息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6.属于四类过程性信息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7.属于行政执法案卷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8.属于行政查询事项</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（四）无法提供</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（五）不予处理</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1.信访举报投诉类申请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4.无正当理由大量反复申请</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79"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5.要求行政机关确认或重新出具已获取信息</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Calibri" w:hAnsi="Calibri" w:eastAsia="宋体" w:cs="Times New Roman"/>
                <w:kern w:val="2"/>
                <w:sz w:val="21"/>
                <w:szCs w:val="24"/>
                <w:lang w:val="en-US" w:eastAsia="zh-CN" w:bidi="ar-SA"/>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Calibri" w:hAnsi="Calibri" w:eastAsia="宋体" w:cs="Times New Roman"/>
                <w:kern w:val="2"/>
                <w:sz w:val="21"/>
                <w:szCs w:val="24"/>
                <w:lang w:val="en-US" w:eastAsia="zh-CN" w:bidi="ar-SA"/>
              </w:rPr>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outset" w:color="auto" w:sz="6"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both"/>
              <w:textAlignment w:val="auto"/>
              <w:rPr>
                <w:rFonts w:hint="eastAsia" w:cs="Times New Roman"/>
                <w:kern w:val="2"/>
                <w:sz w:val="21"/>
                <w:szCs w:val="24"/>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right="0" w:rightChars="0"/>
              <w:jc w:val="center"/>
              <w:textAlignment w:val="auto"/>
              <w:rPr>
                <w:rFonts w:hint="default" w:ascii="Calibri" w:hAnsi="Calibri" w:eastAsia="宋体" w:cs="Times New Roman"/>
                <w:kern w:val="2"/>
                <w:sz w:val="21"/>
                <w:szCs w:val="24"/>
                <w:lang w:val="en-US" w:eastAsia="zh-CN" w:bidi="ar-SA"/>
              </w:rPr>
            </w:pPr>
            <w:r>
              <w:rPr>
                <w:rFonts w:hint="eastAsia" w:cs="Times New Roman"/>
                <w:kern w:val="2"/>
                <w:sz w:val="21"/>
                <w:szCs w:val="24"/>
                <w:lang w:val="en-US" w:eastAsia="zh-CN" w:bidi="ar-S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（六）其他处理</w:t>
            </w: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1.申请人无正当理由逾期不补正、行政机关不再处理其政府信息公开申请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cs="Calibri"/>
                <w:color w:val="333333"/>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2.申请人逾期未按收费通知要求缴纳费用、行政机关不再处理其政府信息公开申请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ascii="Calibri" w:hAnsi="Calibri" w:eastAsia="宋体" w:cs="Calibri"/>
                <w:color w:val="333333"/>
                <w:kern w:val="0"/>
                <w:sz w:val="20"/>
                <w:szCs w:val="20"/>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3.其他</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（七）总计</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四、结转下年度继续办理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宋体" w:eastAsia="宋体" w:cs="宋体"/>
                <w:color w:val="333333"/>
                <w:sz w:val="21"/>
                <w:szCs w:val="21"/>
                <w:lang w:val="en-US" w:eastAsia="zh-CN"/>
              </w:rPr>
            </w:pPr>
            <w:r>
              <w:rPr>
                <w:rFonts w:hint="default" w:ascii="Calibri" w:hAnsi="Calibri" w:eastAsia="宋体" w:cs="Calibri"/>
                <w:color w:val="333333"/>
                <w:kern w:val="0"/>
                <w:sz w:val="20"/>
                <w:szCs w:val="20"/>
                <w:lang w:val="en-US" w:eastAsia="zh-CN" w:bidi="ar"/>
              </w:rPr>
              <w:t> </w:t>
            </w:r>
            <w:r>
              <w:rPr>
                <w:rFonts w:hint="eastAsia" w:cs="Calibri"/>
                <w:color w:val="333333"/>
                <w:kern w:val="0"/>
                <w:sz w:val="20"/>
                <w:szCs w:val="20"/>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uto"/>
        <w:ind w:left="0" w:right="0"/>
        <w:jc w:val="center"/>
        <w:rPr>
          <w:rFonts w:hint="eastAsia" w:ascii="宋体" w:hAnsi="宋体" w:eastAsia="宋体" w:cs="宋体"/>
          <w:color w:val="333333"/>
          <w:sz w:val="24"/>
          <w:szCs w:val="24"/>
        </w:rPr>
      </w:pPr>
    </w:p>
    <w:p>
      <w:pPr>
        <w:pStyle w:val="4"/>
        <w:keepNext w:val="0"/>
        <w:keepLines w:val="0"/>
        <w:widowControl/>
        <w:suppressLineNumbers w:val="0"/>
        <w:spacing w:before="0" w:beforeAutospacing="0" w:after="0" w:afterAutospacing="0" w:line="432" w:lineRule="auto"/>
        <w:ind w:left="0" w:firstLine="420"/>
        <w:jc w:val="both"/>
        <w:rPr>
          <w:rFonts w:hint="eastAsia" w:ascii="黑体" w:hAnsi="黑体" w:eastAsia="黑体" w:cs="黑体"/>
          <w:b w:val="0"/>
          <w:bCs/>
          <w:color w:val="333333"/>
          <w:sz w:val="32"/>
          <w:szCs w:val="32"/>
        </w:rPr>
      </w:pPr>
      <w:r>
        <w:rPr>
          <w:rFonts w:hint="eastAsia" w:ascii="黑体" w:hAnsi="黑体" w:eastAsia="黑体" w:cs="黑体"/>
          <w:b w:val="0"/>
          <w:bCs/>
          <w:color w:val="333333"/>
          <w:sz w:val="32"/>
          <w:szCs w:val="32"/>
        </w:rPr>
        <w:t>四、政府信息公开行政复议、行政诉讼情况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其他</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其他</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ascii="黑体" w:hAnsi="宋体" w:eastAsia="黑体" w:cs="黑体"/>
                <w:color w:val="333333"/>
                <w:kern w:val="2"/>
                <w:sz w:val="20"/>
                <w:szCs w:val="20"/>
                <w:lang w:val="en-US" w:eastAsia="zh-CN" w:bidi="ar"/>
              </w:rPr>
              <w:t> </w:t>
            </w: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0 </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 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0 </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0 </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 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lang w:val="en-US" w:eastAsia="zh-CN"/>
              </w:rPr>
            </w:pPr>
            <w:r>
              <w:rPr>
                <w:rFonts w:hint="eastAsia" w:ascii="黑体" w:hAnsi="宋体" w:eastAsia="黑体" w:cs="黑体"/>
                <w:color w:val="333333"/>
                <w:kern w:val="2"/>
                <w:sz w:val="20"/>
                <w:szCs w:val="20"/>
                <w:lang w:val="en-US" w:eastAsia="zh-CN" w:bidi="ar"/>
              </w:rPr>
              <w:t>0</w:t>
            </w:r>
          </w:p>
        </w:tc>
      </w:tr>
    </w:tbl>
    <w:p>
      <w:pPr>
        <w:keepNext w:val="0"/>
        <w:keepLines w:val="0"/>
        <w:widowControl/>
        <w:suppressLineNumbers w:val="0"/>
        <w:jc w:val="left"/>
      </w:pPr>
    </w:p>
    <w:p>
      <w:pPr>
        <w:pStyle w:val="4"/>
        <w:widowControl/>
        <w:shd w:val="clear" w:color="auto" w:fill="FFFFFF"/>
        <w:spacing w:before="0" w:beforeAutospacing="0" w:after="0" w:afterAutospacing="0" w:line="480" w:lineRule="atLeast"/>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shd w:val="clear" w:color="auto" w:fill="FFFFFF"/>
        </w:rPr>
        <w:t>五、存在的主要问题及改进情况</w:t>
      </w:r>
    </w:p>
    <w:p>
      <w:pPr>
        <w:pStyle w:val="4"/>
        <w:widowControl/>
        <w:shd w:val="clear" w:color="auto" w:fill="FFFFFF"/>
        <w:spacing w:before="0" w:beforeAutospacing="0" w:after="0" w:afterAutospacing="0" w:line="480" w:lineRule="atLeast"/>
        <w:ind w:firstLine="420" w:firstLineChars="200"/>
        <w:rPr>
          <w:rFonts w:hint="eastAsia" w:ascii="仿宋_GB2312" w:hAnsi="仿宋_GB2312" w:eastAsia="仿宋_GB2312" w:cs="仿宋_GB2312"/>
          <w:color w:val="auto"/>
          <w:sz w:val="32"/>
          <w:szCs w:val="32"/>
        </w:rPr>
      </w:pPr>
      <w:r>
        <w:rPr>
          <w:rFonts w:hint="eastAsia" w:ascii="微软雅黑" w:hAnsi="微软雅黑" w:eastAsia="微软雅黑" w:cs="微软雅黑"/>
          <w:color w:val="auto"/>
          <w:sz w:val="21"/>
          <w:szCs w:val="21"/>
          <w:shd w:val="clear" w:color="auto" w:fill="FFFFFF"/>
        </w:rPr>
        <w:t>  </w:t>
      </w:r>
      <w:r>
        <w:rPr>
          <w:rFonts w:hint="eastAsia" w:ascii="仿宋_GB2312" w:hAnsi="仿宋_GB2312" w:eastAsia="仿宋_GB2312" w:cs="仿宋_GB2312"/>
          <w:color w:val="auto"/>
          <w:sz w:val="32"/>
          <w:szCs w:val="32"/>
          <w:shd w:val="clear" w:color="auto" w:fill="FFFFFF"/>
        </w:rPr>
        <w:t> </w:t>
      </w:r>
      <w:r>
        <w:rPr>
          <w:rFonts w:hint="eastAsia" w:ascii="仿宋_GB2312" w:hAnsi="仿宋_GB2312" w:eastAsia="仿宋_GB2312" w:cs="仿宋_GB2312"/>
          <w:color w:val="auto"/>
          <w:sz w:val="32"/>
          <w:szCs w:val="32"/>
          <w:shd w:val="clear" w:color="auto" w:fill="FFFFFF"/>
          <w:lang w:val="en-US" w:eastAsia="zh-CN"/>
        </w:rPr>
        <w:t>虽然我局信息公开发布机制、工作流程等方面都进行了进一步优化，但还存在一些不足，如政务公开的内容的及时性、全面性还有待提高，信息公开工作人员业务能力有待加强等。下一步，我局将按照“公开为原则，不公开为例外”的要求，进一步完善信息公开内容，丰富公开形式，提高信息公开的针对性和实效性。加强工作人员信息公开培训和教育，提高信息公开工作业务能力和水平。</w:t>
      </w:r>
      <w:r>
        <w:rPr>
          <w:rFonts w:hint="eastAsia" w:ascii="仿宋_GB2312" w:hAnsi="仿宋_GB2312" w:eastAsia="仿宋_GB2312" w:cs="仿宋_GB2312"/>
          <w:color w:val="auto"/>
          <w:sz w:val="32"/>
          <w:szCs w:val="32"/>
          <w:shd w:val="clear" w:color="auto" w:fill="FFFFFF"/>
        </w:rPr>
        <w:t>下步改进措施：一是加强与区政府信息公开工作管理机构及上级业务主管单位沟通，对信息公开内容进行梳理，使信息公开更加贴合群众需要，更加方便接受社会监督。一是进一步落实信息公开责任机制，建立信息公开月度检查制度，及时查漏补缺，切实增强时效性。</w:t>
      </w:r>
    </w:p>
    <w:p>
      <w:pPr>
        <w:pStyle w:val="4"/>
        <w:widowControl/>
        <w:numPr>
          <w:ilvl w:val="0"/>
          <w:numId w:val="1"/>
        </w:numPr>
        <w:shd w:val="clear" w:color="auto" w:fill="FFFFFF"/>
        <w:spacing w:before="0" w:beforeAutospacing="0" w:after="0" w:afterAutospacing="0" w:line="480" w:lineRule="atLeast"/>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其他需要报告的事项</w:t>
      </w:r>
    </w:p>
    <w:p>
      <w:pPr>
        <w:pStyle w:val="4"/>
        <w:widowControl/>
        <w:shd w:val="clear" w:color="auto" w:fill="FFFFFF"/>
        <w:spacing w:before="0" w:beforeAutospacing="0" w:after="0" w:afterAutospacing="0" w:line="480" w:lineRule="atLeast"/>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本机关全年没有收到超出一定数量或者频次范围的政府信息公开申请，也未对申请人收取信息处理费。</w:t>
      </w:r>
    </w:p>
    <w:p>
      <w:pPr>
        <w:pStyle w:val="4"/>
        <w:widowControl/>
        <w:shd w:val="clear" w:color="auto" w:fill="FFFFFF"/>
        <w:spacing w:before="0" w:beforeAutospacing="0" w:after="0" w:afterAutospacing="0" w:line="480" w:lineRule="atLeast"/>
        <w:ind w:right="210"/>
        <w:jc w:val="right"/>
        <w:rPr>
          <w:rFonts w:hint="eastAsia" w:ascii="仿宋_GB2312" w:hAnsi="仿宋_GB2312" w:eastAsia="仿宋_GB2312" w:cs="仿宋_GB2312"/>
          <w:color w:val="auto"/>
          <w:sz w:val="32"/>
          <w:szCs w:val="32"/>
          <w:shd w:val="clear" w:color="auto" w:fill="FFFFFF"/>
        </w:rPr>
      </w:pPr>
    </w:p>
    <w:p>
      <w:pPr>
        <w:pStyle w:val="4"/>
        <w:widowControl/>
        <w:shd w:val="clear" w:color="auto" w:fill="FFFFFF"/>
        <w:spacing w:before="0" w:beforeAutospacing="0" w:after="0" w:afterAutospacing="0" w:line="480" w:lineRule="atLeast"/>
        <w:ind w:right="210"/>
        <w:jc w:val="right"/>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北仑区司法局</w:t>
      </w:r>
    </w:p>
    <w:p>
      <w:pPr>
        <w:pStyle w:val="4"/>
        <w:widowControl/>
        <w:shd w:val="clear" w:color="auto" w:fill="FFFFFF"/>
        <w:spacing w:before="0" w:beforeAutospacing="0" w:after="0" w:afterAutospacing="0" w:line="480" w:lineRule="atLeast"/>
        <w:jc w:val="right"/>
        <w:rPr>
          <w:rFonts w:hint="eastAsia" w:ascii="微软雅黑" w:hAnsi="微软雅黑" w:eastAsia="微软雅黑" w:cs="微软雅黑"/>
          <w:color w:val="auto"/>
          <w:sz w:val="21"/>
          <w:szCs w:val="21"/>
          <w:shd w:val="clear" w:color="auto" w:fill="FFFFFF"/>
        </w:rPr>
      </w:pPr>
      <w:r>
        <w:rPr>
          <w:rFonts w:hint="eastAsia" w:ascii="仿宋_GB2312" w:hAnsi="仿宋_GB2312" w:eastAsia="仿宋_GB2312" w:cs="仿宋_GB2312"/>
          <w:color w:val="auto"/>
          <w:sz w:val="32"/>
          <w:szCs w:val="32"/>
          <w:shd w:val="clear" w:color="auto" w:fill="FFFFFF"/>
        </w:rPr>
        <w:t>202</w:t>
      </w: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年1月15日</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9BFBF3"/>
    <w:multiLevelType w:val="singleLevel"/>
    <w:tmpl w:val="449BFBF3"/>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BC0F47"/>
    <w:rsid w:val="11182924"/>
    <w:rsid w:val="22AA3068"/>
    <w:rsid w:val="2B9E397B"/>
    <w:rsid w:val="33463914"/>
    <w:rsid w:val="61BC0F47"/>
    <w:rsid w:val="66173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2022-01-02T08:41:00Z</dcterms:created>
  <dc:creator>晴夜</dc:creator>
  <cp:lastModifiedBy>晴夜</cp:lastModifiedBy>
  <dcterms:modified xsi:type="dcterms:W3CDTF">2022-01-25T08:51:47Z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