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560" w:lineRule="exact"/>
        <w:jc w:val="center"/>
        <w:rPr>
          <w:rFonts w:ascii="方正小标宋简体" w:eastAsia="方正小标宋简体"/>
          <w:sz w:val="36"/>
          <w:szCs w:val="36"/>
        </w:rPr>
      </w:pPr>
      <w:r>
        <w:rPr>
          <w:rFonts w:hint="eastAsia" w:ascii="方正小标宋简体" w:eastAsia="方正小标宋简体"/>
          <w:sz w:val="36"/>
          <w:szCs w:val="36"/>
        </w:rPr>
        <w:t>戚家山街道202</w:t>
      </w:r>
      <w:r>
        <w:rPr>
          <w:rFonts w:hint="eastAsia" w:ascii="方正小标宋简体" w:eastAsia="方正小标宋简体"/>
          <w:sz w:val="36"/>
          <w:szCs w:val="36"/>
          <w:lang w:val="en-US" w:eastAsia="zh-CN"/>
        </w:rPr>
        <w:t>2</w:t>
      </w:r>
      <w:r>
        <w:rPr>
          <w:rFonts w:hint="eastAsia" w:ascii="方正小标宋简体" w:eastAsia="方正小标宋简体"/>
          <w:sz w:val="36"/>
          <w:szCs w:val="36"/>
        </w:rPr>
        <w:t>年度政府信息公开工作年度报告</w:t>
      </w:r>
    </w:p>
    <w:p>
      <w:pPr>
        <w:pStyle w:val="6"/>
        <w:widowControl/>
        <w:pBdr>
          <w:top w:val="none" w:color="auto" w:sz="0" w:space="0"/>
          <w:left w:val="none" w:color="auto" w:sz="0" w:space="0"/>
          <w:bottom w:val="none" w:color="auto" w:sz="0" w:space="0"/>
          <w:right w:val="none" w:color="auto" w:sz="0" w:space="0"/>
        </w:pBdr>
        <w:spacing w:before="0" w:beforeAutospacing="0" w:after="0" w:afterAutospacing="0" w:line="432" w:lineRule="auto"/>
        <w:ind w:left="0" w:right="0" w:firstLine="420"/>
        <w:jc w:val="both"/>
        <w:rPr>
          <w:rFonts w:hint="default" w:ascii="宋体" w:hAnsi="宋体" w:eastAsia="宋体" w:cs="宋体"/>
          <w:color w:val="333333"/>
          <w:szCs w:val="24"/>
          <w:lang w:val="en-US" w:eastAsia="zh-CN" w:bidi="ar"/>
        </w:rPr>
      </w:pPr>
      <w:r>
        <w:rPr>
          <w:rFonts w:hint="eastAsia" w:ascii="宋体" w:hAnsi="宋体" w:eastAsia="宋体" w:cs="宋体"/>
          <w:color w:val="333333"/>
          <w:szCs w:val="24"/>
          <w:lang w:val="en-US" w:eastAsia="zh-CN" w:bidi="ar"/>
        </w:rPr>
        <w:t>2022年我街道认真贯彻《中华人民共和国政府信息公开条例》的各项规定，按照区政府的统一部署和要求，把政府信息公开作为与群众沟通的重要纽带，严格落实政府信息公开的各项制度，全面提高政府信息公开工作质量。现对2022年度戚家山街道信息公开情况汇报如下（本年报所列数据的统计期限为2022年1月1日至2022年12月31日）</w:t>
      </w:r>
    </w:p>
    <w:p>
      <w:pPr>
        <w:spacing w:line="560" w:lineRule="exact"/>
        <w:ind w:firstLine="640"/>
        <w:rPr>
          <w:rFonts w:hint="eastAsia" w:ascii="仿宋_GB2312" w:eastAsia="仿宋_GB2312"/>
          <w:b/>
          <w:bCs/>
          <w:sz w:val="32"/>
          <w:szCs w:val="32"/>
          <w:lang w:eastAsia="zh-CN"/>
        </w:rPr>
      </w:pPr>
      <w:r>
        <w:rPr>
          <w:rFonts w:hint="eastAsia" w:ascii="黑体" w:hAnsi="黑体" w:eastAsia="黑体"/>
          <w:sz w:val="32"/>
          <w:szCs w:val="32"/>
        </w:rPr>
        <w:t>一</w:t>
      </w:r>
      <w:r>
        <w:rPr>
          <w:rFonts w:ascii="黑体" w:hAnsi="黑体" w:eastAsia="黑体"/>
          <w:sz w:val="32"/>
          <w:szCs w:val="32"/>
        </w:rPr>
        <w:t>、总体情况</w:t>
      </w:r>
    </w:p>
    <w:p>
      <w:pPr>
        <w:spacing w:line="560" w:lineRule="exact"/>
        <w:ind w:firstLine="643" w:firstLineChars="200"/>
        <w:rPr>
          <w:rFonts w:hint="eastAsia" w:ascii="仿宋_GB2312" w:eastAsia="仿宋_GB2312"/>
          <w:sz w:val="32"/>
          <w:szCs w:val="32"/>
          <w:lang w:eastAsia="zh-CN"/>
        </w:rPr>
      </w:pPr>
      <w:r>
        <w:rPr>
          <w:rFonts w:hint="eastAsia" w:ascii="仿宋_GB2312" w:eastAsia="仿宋_GB2312"/>
          <w:b/>
          <w:bCs/>
          <w:sz w:val="32"/>
          <w:szCs w:val="32"/>
          <w:lang w:eastAsia="zh-CN"/>
        </w:rPr>
        <w:t>（一）统一认识，加强领导。</w:t>
      </w:r>
      <w:r>
        <w:rPr>
          <w:rFonts w:hint="eastAsia" w:ascii="仿宋_GB2312" w:eastAsia="仿宋_GB2312"/>
          <w:sz w:val="32"/>
          <w:szCs w:val="32"/>
          <w:lang w:eastAsia="zh-CN"/>
        </w:rPr>
        <w:t>根据人事变动和工作需要，及时调整成立政务公开领导小组，领导小组下设办公室，政务公开日常工作由办公室负责。为切实提高街道工作的透明度，提高工作效率，领导小组多次召开会议，强化监督管理，对信息公开工作进行研究部署，明确工作职责，切实提高全体工作人员做好政务公开的自觉性。</w:t>
      </w:r>
    </w:p>
    <w:p>
      <w:pPr>
        <w:spacing w:line="560" w:lineRule="exact"/>
        <w:ind w:firstLine="643" w:firstLineChars="200"/>
        <w:rPr>
          <w:rFonts w:hint="eastAsia" w:ascii="仿宋_GB2312" w:eastAsia="仿宋_GB2312"/>
          <w:sz w:val="32"/>
          <w:szCs w:val="32"/>
          <w:lang w:eastAsia="zh-CN"/>
        </w:rPr>
      </w:pPr>
      <w:r>
        <w:rPr>
          <w:rFonts w:hint="eastAsia" w:ascii="仿宋_GB2312" w:eastAsia="仿宋_GB2312"/>
          <w:b/>
          <w:bCs/>
          <w:sz w:val="32"/>
          <w:szCs w:val="32"/>
          <w:lang w:eastAsia="zh-CN"/>
        </w:rPr>
        <w:t>（二）细化分工，明确责任。</w:t>
      </w:r>
      <w:r>
        <w:rPr>
          <w:rFonts w:hint="eastAsia" w:ascii="仿宋_GB2312" w:eastAsia="仿宋_GB2312"/>
          <w:sz w:val="32"/>
          <w:szCs w:val="32"/>
          <w:lang w:eastAsia="zh-CN"/>
        </w:rPr>
        <w:t>我街道明确了专人为信息管理员，具体负责政府信息公开内容维护、信息更新、组织协调等日常工作。每个科室和社区明确一名信息员，负责收集、整理、上报信息，由信息管理员统一发布，做到一级抓一级，层层抓落实。</w:t>
      </w:r>
    </w:p>
    <w:p>
      <w:pPr>
        <w:spacing w:line="560" w:lineRule="exact"/>
        <w:ind w:firstLine="643" w:firstLineChars="200"/>
        <w:rPr>
          <w:rFonts w:hint="eastAsia" w:ascii="仿宋_GB2312" w:eastAsia="仿宋_GB2312"/>
          <w:sz w:val="32"/>
          <w:szCs w:val="32"/>
          <w:lang w:val="en-US" w:eastAsia="zh-CN"/>
        </w:rPr>
      </w:pPr>
      <w:r>
        <w:rPr>
          <w:rFonts w:hint="eastAsia" w:ascii="仿宋_GB2312" w:eastAsia="仿宋_GB2312"/>
          <w:b/>
          <w:bCs/>
          <w:sz w:val="32"/>
          <w:szCs w:val="32"/>
          <w:lang w:eastAsia="zh-CN"/>
        </w:rPr>
        <w:t>（三）规范管理，优化质量。</w:t>
      </w:r>
      <w:r>
        <w:rPr>
          <w:rFonts w:hint="eastAsia" w:ascii="仿宋_GB2312" w:eastAsia="仿宋_GB2312"/>
          <w:sz w:val="32"/>
          <w:szCs w:val="32"/>
          <w:lang w:eastAsia="zh-CN"/>
        </w:rPr>
        <w:t>戚家山街道本年度共公开政务信息</w:t>
      </w:r>
      <w:r>
        <w:rPr>
          <w:rFonts w:hint="eastAsia" w:ascii="仿宋_GB2312" w:eastAsia="仿宋_GB2312"/>
          <w:sz w:val="32"/>
          <w:szCs w:val="32"/>
          <w:lang w:val="en-US" w:eastAsia="zh-CN"/>
        </w:rPr>
        <w:t>162条，各栏目均保持正常更新。为强化服务理念，以线上、线下申请渠道同时畅通的方式，更好地满足申请人对政府信息的个性化合理需求。街道积极在各社区、便民服务中心设置公开查阅点，同时也可在各社区的党员远程教育网点查阅本机关公开的政府信息。此外，街道建立健全信息发布审查制度，按照“谁公开、谁负责”和“先审查、后公开”原则，实行三级审查制度，确保信息发布的正确性和权威性,全年没有发生因政务公开工作被追究责任的情况。</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textAlignment w:val="auto"/>
        <w:outlineLvl w:val="9"/>
        <w:rPr>
          <w:rFonts w:hint="eastAsia" w:ascii="黑体" w:hAnsi="黑体" w:eastAsia="黑体" w:cs="黑体"/>
          <w:sz w:val="30"/>
          <w:szCs w:val="30"/>
        </w:rPr>
      </w:pPr>
      <w:r>
        <w:rPr>
          <w:rFonts w:hint="eastAsia" w:ascii="黑体" w:hAnsi="黑体" w:eastAsia="黑体" w:cs="黑体"/>
          <w:color w:val="000000"/>
          <w:sz w:val="32"/>
          <w:szCs w:val="32"/>
          <w:lang w:eastAsia="zh-CN"/>
        </w:rPr>
        <w:t>主动公开政府信息情况</w:t>
      </w:r>
      <w:bookmarkStart w:id="0" w:name="_GoBack"/>
      <w:bookmarkEnd w:id="0"/>
    </w:p>
    <w:tbl>
      <w:tblPr>
        <w:tblStyle w:val="7"/>
        <w:tblW w:w="0" w:type="auto"/>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492"/>
        <w:gridCol w:w="2268"/>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制发件数</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废止件数</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规章</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08" w:type="dxa"/>
            <w:noWrap w:val="0"/>
            <w:vAlign w:val="center"/>
          </w:tcPr>
          <w:p>
            <w:pPr>
              <w:jc w:val="center"/>
              <w:rPr>
                <w:rFonts w:hint="default"/>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行政许可</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行政处罚</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行政强制</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行政事业性收费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660" w:lineRule="exact"/>
        <w:ind w:firstLine="640" w:firstLineChars="200"/>
        <w:textAlignment w:val="auto"/>
        <w:outlineLvl w:val="9"/>
        <w:rPr>
          <w:rFonts w:ascii="黑体" w:hAnsi="黑体" w:eastAsia="黑体"/>
          <w:sz w:val="30"/>
          <w:szCs w:val="30"/>
        </w:rPr>
      </w:pPr>
      <w:r>
        <w:rPr>
          <w:rFonts w:hint="eastAsia" w:ascii="黑体" w:hAnsi="黑体" w:eastAsia="黑体" w:cs="黑体"/>
          <w:color w:val="000000"/>
          <w:sz w:val="32"/>
          <w:szCs w:val="32"/>
          <w:lang w:val="en-US" w:eastAsia="zh-CN"/>
        </w:rPr>
        <w:t>三、收到和处理政府信息公开申请情况</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125"/>
        <w:gridCol w:w="16"/>
        <w:gridCol w:w="2029"/>
        <w:gridCol w:w="839"/>
        <w:gridCol w:w="709"/>
        <w:gridCol w:w="709"/>
        <w:gridCol w:w="800"/>
        <w:gridCol w:w="780"/>
        <w:gridCol w:w="570"/>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5154" w:type="dxa"/>
            <w:gridSpan w:val="7"/>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p>
        </w:tc>
        <w:tc>
          <w:tcPr>
            <w:tcW w:w="839"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自然人</w:t>
            </w:r>
          </w:p>
        </w:tc>
        <w:tc>
          <w:tcPr>
            <w:tcW w:w="3568" w:type="dxa"/>
            <w:gridSpan w:val="5"/>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法人或其他组织</w:t>
            </w:r>
          </w:p>
        </w:tc>
        <w:tc>
          <w:tcPr>
            <w:tcW w:w="747"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p>
        </w:tc>
        <w:tc>
          <w:tcPr>
            <w:tcW w:w="839"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黑体" w:hAnsi="黑体" w:eastAsia="黑体" w:cs="黑体"/>
                <w:sz w:val="24"/>
                <w:szCs w:val="24"/>
              </w:rPr>
            </w:pP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商业企业</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科研机构</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社会公益组织</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法律服务机构</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其他</w:t>
            </w:r>
          </w:p>
        </w:tc>
        <w:tc>
          <w:tcPr>
            <w:tcW w:w="747"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黑体" w:hAnsi="黑体" w:eastAsia="黑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225" w:type="dxa"/>
            <w:gridSpan w:val="4"/>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一、本年新收政府信息公开申请数量</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225" w:type="dxa"/>
            <w:gridSpan w:val="4"/>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二、上年转结政府信息公开申请数量</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三、本年度办理结果</w:t>
            </w:r>
          </w:p>
        </w:tc>
        <w:tc>
          <w:tcPr>
            <w:tcW w:w="317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（一）予以公开</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317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（三）不予公开</w:t>
            </w: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1.属于国家秘密</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2.其他法律行政法规禁止公开</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3.危及“三安全一稳定”</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4.保护第三方合法权益</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5.属于三类内部事务信息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6.属于四类过程性信息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7.属于行政执法案卷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8.属于行政查询事项</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（四）无法提供</w:t>
            </w: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1.本机关不掌握相关政府信息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2.没有现成信息需要另行制作</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3.补正后申请内容仍不明确</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（五）不予处理</w:t>
            </w: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1.信访举报投诉类申请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2.重复申请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3.要求提供公开出版物</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4.无正当理由大量反复申请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5.要求行政机关确认或重新出具已获取信息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（六）其他处理</w:t>
            </w:r>
          </w:p>
        </w:tc>
        <w:tc>
          <w:tcPr>
            <w:tcW w:w="2045" w:type="dxa"/>
            <w:gridSpan w:val="2"/>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45" w:type="dxa"/>
            <w:gridSpan w:val="2"/>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45" w:type="dxa"/>
            <w:gridSpan w:val="2"/>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317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（七）总计</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225" w:type="dxa"/>
            <w:gridSpan w:val="4"/>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四、转结下年度继续办理</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keepNext w:val="0"/>
        <w:keepLines w:val="0"/>
        <w:pageBreakBefore w:val="0"/>
        <w:numPr>
          <w:ilvl w:val="0"/>
          <w:numId w:val="0"/>
        </w:numPr>
        <w:kinsoku/>
        <w:wordWrap/>
        <w:overflowPunct/>
        <w:topLinePunct w:val="0"/>
        <w:autoSpaceDE/>
        <w:autoSpaceDN/>
        <w:bidi w:val="0"/>
        <w:spacing w:before="312" w:beforeLines="100" w:after="156" w:afterLines="50" w:line="400" w:lineRule="exact"/>
        <w:ind w:firstLine="640" w:firstLineChars="200"/>
        <w:textAlignment w:val="auto"/>
        <w:outlineLvl w:val="0"/>
        <w:rPr>
          <w:rFonts w:hint="eastAsia" w:ascii="黑体" w:hAnsi="黑体" w:eastAsia="黑体"/>
          <w:sz w:val="30"/>
          <w:szCs w:val="30"/>
        </w:rPr>
      </w:pPr>
      <w:r>
        <w:rPr>
          <w:rFonts w:hint="eastAsia" w:ascii="黑体" w:hAnsi="黑体" w:eastAsia="黑体" w:cs="黑体"/>
          <w:snapToGrid w:val="0"/>
          <w:color w:val="000000"/>
          <w:sz w:val="32"/>
          <w:szCs w:val="32"/>
          <w:shd w:val="clear" w:color="auto" w:fill="FFFFFF"/>
          <w:lang w:val="en-US" w:eastAsia="zh-CN"/>
        </w:rPr>
        <w:t>四、政府信息公开行政复议、行政诉讼情况</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553"/>
        <w:gridCol w:w="553"/>
        <w:gridCol w:w="520"/>
        <w:gridCol w:w="586"/>
        <w:gridCol w:w="629"/>
        <w:gridCol w:w="477"/>
        <w:gridCol w:w="553"/>
        <w:gridCol w:w="470"/>
        <w:gridCol w:w="636"/>
        <w:gridCol w:w="553"/>
        <w:gridCol w:w="553"/>
        <w:gridCol w:w="553"/>
        <w:gridCol w:w="553"/>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行政复议</w:t>
            </w:r>
          </w:p>
        </w:tc>
        <w:tc>
          <w:tcPr>
            <w:tcW w:w="6493" w:type="dxa"/>
            <w:gridSpan w:val="10"/>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p>
        </w:tc>
        <w:tc>
          <w:tcPr>
            <w:tcW w:w="2765" w:type="dxa"/>
            <w:gridSpan w:val="5"/>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未经复议直接起诉</w:t>
            </w:r>
          </w:p>
        </w:tc>
        <w:tc>
          <w:tcPr>
            <w:tcW w:w="3728" w:type="dxa"/>
            <w:gridSpan w:val="5"/>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2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58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6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4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4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15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2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4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4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15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rPr>
          <w:rFonts w:ascii="微软雅黑" w:hAnsi="微软雅黑" w:eastAsia="微软雅黑" w:cs="微软雅黑"/>
          <w:color w:val="333333"/>
          <w:kern w:val="0"/>
          <w:szCs w:val="21"/>
          <w:shd w:val="clear" w:color="auto" w:fill="FFFFFF"/>
          <w:lang w:bidi="ar"/>
        </w:rPr>
      </w:pPr>
    </w:p>
    <w:p>
      <w:pPr>
        <w:pStyle w:val="6"/>
        <w:spacing w:beforeAutospacing="0" w:afterAutospacing="0" w:line="600" w:lineRule="exact"/>
        <w:ind w:firstLine="420"/>
        <w:jc w:val="both"/>
        <w:rPr>
          <w:rFonts w:ascii="宋体" w:hAnsi="宋体"/>
          <w:color w:val="000000"/>
        </w:rPr>
      </w:pPr>
      <w:r>
        <w:rPr>
          <w:rFonts w:hint="eastAsia" w:ascii="黑体" w:hAnsi="黑体" w:eastAsia="黑体" w:cs="黑体"/>
          <w:bCs/>
          <w:color w:val="000000"/>
          <w:sz w:val="32"/>
          <w:szCs w:val="32"/>
        </w:rPr>
        <w:t>五、存在的主要问题及改进情况</w:t>
      </w:r>
    </w:p>
    <w:p>
      <w:pPr>
        <w:shd w:val="clear" w:color="auto" w:fill="FFFFFF"/>
        <w:spacing w:line="480" w:lineRule="atLeast"/>
        <w:ind w:firstLine="480"/>
        <w:rPr>
          <w:rFonts w:ascii="仿宋_GB2312" w:eastAsia="仿宋_GB2312" w:cs="Times New Roman"/>
          <w:b/>
          <w:kern w:val="0"/>
          <w:sz w:val="32"/>
          <w:szCs w:val="32"/>
        </w:rPr>
      </w:pPr>
      <w:r>
        <w:rPr>
          <w:rFonts w:hint="eastAsia" w:ascii="仿宋_GB2312" w:eastAsia="仿宋_GB2312" w:cs="Times New Roman"/>
          <w:b/>
          <w:kern w:val="0"/>
          <w:sz w:val="32"/>
          <w:szCs w:val="32"/>
        </w:rPr>
        <w:t>（一）存在</w:t>
      </w:r>
      <w:r>
        <w:rPr>
          <w:rFonts w:ascii="仿宋_GB2312" w:eastAsia="仿宋_GB2312" w:cs="Times New Roman"/>
          <w:b/>
          <w:kern w:val="0"/>
          <w:sz w:val="32"/>
          <w:szCs w:val="32"/>
        </w:rPr>
        <w:t>问题</w:t>
      </w:r>
    </w:p>
    <w:p>
      <w:pPr>
        <w:shd w:val="clear" w:color="auto" w:fill="FFFFFF"/>
        <w:spacing w:line="480" w:lineRule="atLeast"/>
        <w:ind w:firstLine="480"/>
        <w:rPr>
          <w:rFonts w:ascii="仿宋_GB2312" w:eastAsia="仿宋_GB2312" w:cs="Times New Roman"/>
          <w:kern w:val="0"/>
          <w:sz w:val="32"/>
          <w:szCs w:val="32"/>
        </w:rPr>
      </w:pPr>
      <w:r>
        <w:rPr>
          <w:rFonts w:hint="eastAsia" w:ascii="仿宋_GB2312" w:eastAsia="仿宋_GB2312" w:cs="Times New Roman"/>
          <w:kern w:val="0"/>
          <w:sz w:val="32"/>
          <w:szCs w:val="32"/>
        </w:rPr>
        <w:t>1</w:t>
      </w:r>
      <w:r>
        <w:rPr>
          <w:rFonts w:ascii="仿宋_GB2312" w:eastAsia="仿宋_GB2312" w:cs="Times New Roman"/>
          <w:kern w:val="0"/>
          <w:sz w:val="32"/>
          <w:szCs w:val="32"/>
        </w:rPr>
        <w:t>.</w:t>
      </w:r>
      <w:r>
        <w:rPr>
          <w:rFonts w:hint="eastAsia" w:ascii="仿宋_GB2312" w:eastAsia="仿宋_GB2312" w:cs="Times New Roman"/>
          <w:kern w:val="0"/>
          <w:sz w:val="32"/>
          <w:szCs w:val="32"/>
          <w:lang w:eastAsia="zh-CN"/>
        </w:rPr>
        <w:t>主动公开工作还不够规范</w:t>
      </w:r>
      <w:r>
        <w:rPr>
          <w:rFonts w:ascii="仿宋_GB2312" w:eastAsia="仿宋_GB2312" w:cs="Times New Roman"/>
          <w:kern w:val="0"/>
          <w:sz w:val="32"/>
          <w:szCs w:val="32"/>
        </w:rPr>
        <w:t>；</w:t>
      </w:r>
    </w:p>
    <w:p>
      <w:pPr>
        <w:shd w:val="clear" w:color="auto" w:fill="FFFFFF"/>
        <w:spacing w:line="480" w:lineRule="atLeast"/>
        <w:ind w:firstLine="480"/>
        <w:rPr>
          <w:rFonts w:hint="eastAsia" w:ascii="仿宋_GB2312" w:eastAsia="仿宋_GB2312" w:cs="Times New Roman"/>
          <w:kern w:val="0"/>
          <w:sz w:val="32"/>
          <w:szCs w:val="32"/>
        </w:rPr>
      </w:pPr>
      <w:r>
        <w:rPr>
          <w:rFonts w:ascii="仿宋_GB2312" w:eastAsia="仿宋_GB2312" w:cs="Times New Roman"/>
          <w:kern w:val="0"/>
          <w:sz w:val="32"/>
          <w:szCs w:val="32"/>
        </w:rPr>
        <w:t>2.</w:t>
      </w:r>
      <w:r>
        <w:rPr>
          <w:rFonts w:hint="eastAsia" w:ascii="仿宋_GB2312" w:eastAsia="仿宋_GB2312" w:cs="Times New Roman"/>
          <w:kern w:val="0"/>
          <w:sz w:val="32"/>
          <w:szCs w:val="32"/>
        </w:rPr>
        <w:t>部分科室</w:t>
      </w:r>
      <w:r>
        <w:rPr>
          <w:rFonts w:ascii="仿宋_GB2312" w:eastAsia="仿宋_GB2312" w:cs="Times New Roman"/>
          <w:kern w:val="0"/>
          <w:sz w:val="32"/>
          <w:szCs w:val="32"/>
        </w:rPr>
        <w:t>政务公开意识有待进一步加强，存在公开</w:t>
      </w:r>
      <w:r>
        <w:rPr>
          <w:rFonts w:hint="eastAsia" w:ascii="仿宋_GB2312" w:eastAsia="仿宋_GB2312" w:cs="Times New Roman"/>
          <w:kern w:val="0"/>
          <w:sz w:val="32"/>
          <w:szCs w:val="32"/>
        </w:rPr>
        <w:t>不及时</w:t>
      </w:r>
      <w:r>
        <w:rPr>
          <w:rFonts w:ascii="仿宋_GB2312" w:eastAsia="仿宋_GB2312" w:cs="Times New Roman"/>
          <w:kern w:val="0"/>
          <w:sz w:val="32"/>
          <w:szCs w:val="32"/>
        </w:rPr>
        <w:t>、</w:t>
      </w:r>
      <w:r>
        <w:rPr>
          <w:rFonts w:hint="eastAsia" w:ascii="仿宋_GB2312" w:eastAsia="仿宋_GB2312" w:cs="Times New Roman"/>
          <w:kern w:val="0"/>
          <w:sz w:val="32"/>
          <w:szCs w:val="32"/>
        </w:rPr>
        <w:t>内容有缺失</w:t>
      </w:r>
      <w:r>
        <w:rPr>
          <w:rFonts w:ascii="仿宋_GB2312" w:eastAsia="仿宋_GB2312" w:cs="Times New Roman"/>
          <w:kern w:val="0"/>
          <w:sz w:val="32"/>
          <w:szCs w:val="32"/>
        </w:rPr>
        <w:t>等问题</w:t>
      </w:r>
      <w:r>
        <w:rPr>
          <w:rFonts w:hint="eastAsia" w:ascii="仿宋_GB2312" w:eastAsia="仿宋_GB2312" w:cs="Times New Roman"/>
          <w:kern w:val="0"/>
          <w:sz w:val="32"/>
          <w:szCs w:val="32"/>
        </w:rPr>
        <w:t>。</w:t>
      </w:r>
    </w:p>
    <w:p>
      <w:pPr>
        <w:shd w:val="clear" w:color="auto" w:fill="FFFFFF"/>
        <w:spacing w:line="480" w:lineRule="atLeast"/>
        <w:ind w:firstLine="480"/>
        <w:rPr>
          <w:rFonts w:ascii="仿宋_GB2312" w:eastAsia="仿宋_GB2312" w:cs="Times New Roman"/>
          <w:b/>
          <w:kern w:val="0"/>
          <w:sz w:val="32"/>
          <w:szCs w:val="32"/>
        </w:rPr>
      </w:pPr>
      <w:r>
        <w:rPr>
          <w:rFonts w:hint="eastAsia" w:ascii="仿宋_GB2312" w:eastAsia="仿宋_GB2312" w:cs="Times New Roman"/>
          <w:b/>
          <w:kern w:val="0"/>
          <w:sz w:val="32"/>
          <w:szCs w:val="32"/>
        </w:rPr>
        <w:t>（二）改进措施</w:t>
      </w:r>
    </w:p>
    <w:p>
      <w:pPr>
        <w:shd w:val="clear" w:color="auto" w:fill="FFFFFF"/>
        <w:spacing w:line="480" w:lineRule="atLeast"/>
        <w:ind w:firstLine="480"/>
        <w:rPr>
          <w:rFonts w:hint="eastAsia" w:ascii="仿宋_GB2312" w:eastAsia="仿宋_GB2312" w:cs="Times New Roman"/>
          <w:kern w:val="0"/>
          <w:sz w:val="32"/>
          <w:szCs w:val="32"/>
          <w:lang w:eastAsia="zh-CN"/>
        </w:rPr>
      </w:pPr>
      <w:r>
        <w:rPr>
          <w:rFonts w:hint="eastAsia" w:ascii="仿宋_GB2312" w:eastAsia="仿宋_GB2312" w:cs="Times New Roman"/>
          <w:kern w:val="0"/>
          <w:sz w:val="32"/>
          <w:szCs w:val="32"/>
        </w:rPr>
        <w:t>1.</w:t>
      </w:r>
      <w:r>
        <w:rPr>
          <w:rFonts w:hint="eastAsia" w:ascii="仿宋_GB2312" w:eastAsia="仿宋_GB2312" w:cs="Times New Roman"/>
          <w:kern w:val="0"/>
          <w:sz w:val="32"/>
          <w:szCs w:val="32"/>
          <w:lang w:eastAsia="zh-CN"/>
        </w:rPr>
        <w:t>严格执行相关政策文件规定的主动公开范围和事项，进一步拓宽和深化政府信息公开的内容和范围，努力提高信息公开的质量，抓好政务公开工作要点落实。</w:t>
      </w:r>
    </w:p>
    <w:p>
      <w:pPr>
        <w:shd w:val="clear" w:color="auto" w:fill="FFFFFF"/>
        <w:spacing w:line="480" w:lineRule="atLeast"/>
        <w:ind w:firstLine="480"/>
        <w:rPr>
          <w:rFonts w:hint="eastAsia" w:ascii="仿宋_GB2312" w:eastAsia="仿宋_GB2312" w:cs="Times New Roman"/>
          <w:kern w:val="0"/>
          <w:sz w:val="32"/>
          <w:szCs w:val="32"/>
          <w:lang w:eastAsia="zh-CN"/>
        </w:rPr>
      </w:pPr>
      <w:r>
        <w:rPr>
          <w:rFonts w:hint="eastAsia" w:ascii="仿宋_GB2312" w:eastAsia="仿宋_GB2312" w:cs="Times New Roman"/>
          <w:kern w:val="0"/>
          <w:sz w:val="32"/>
          <w:szCs w:val="32"/>
        </w:rPr>
        <w:t>2.</w:t>
      </w:r>
      <w:r>
        <w:rPr>
          <w:rFonts w:hint="eastAsia" w:ascii="仿宋_GB2312" w:eastAsia="仿宋_GB2312" w:cs="Times New Roman"/>
          <w:kern w:val="0"/>
          <w:sz w:val="32"/>
          <w:szCs w:val="32"/>
          <w:lang w:eastAsia="zh-CN"/>
        </w:rPr>
        <w:t>加强政府信息公开工作理论学习和业务培训，进一步适应新常态、新思路，重视干部职工理论知识培训和业务技能培训，提升专业素养。</w:t>
      </w:r>
    </w:p>
    <w:p>
      <w:pPr>
        <w:pStyle w:val="6"/>
        <w:spacing w:beforeAutospacing="0" w:afterAutospacing="0" w:line="600" w:lineRule="exact"/>
        <w:ind w:firstLine="420"/>
        <w:jc w:val="both"/>
        <w:rPr>
          <w:rFonts w:ascii="黑体" w:hAnsi="黑体" w:eastAsia="黑体" w:cs="黑体"/>
          <w:bCs/>
          <w:color w:val="000000"/>
          <w:sz w:val="32"/>
          <w:szCs w:val="32"/>
        </w:rPr>
      </w:pPr>
      <w:r>
        <w:rPr>
          <w:rFonts w:hint="eastAsia" w:ascii="黑体" w:hAnsi="黑体" w:eastAsia="黑体" w:cs="黑体"/>
          <w:bCs/>
          <w:color w:val="000000"/>
          <w:sz w:val="32"/>
          <w:szCs w:val="32"/>
        </w:rPr>
        <w:t>六、其他需要报告的事项</w:t>
      </w:r>
    </w:p>
    <w:p>
      <w:pPr>
        <w:pStyle w:val="6"/>
        <w:spacing w:beforeAutospacing="0" w:afterAutospacing="0" w:line="600" w:lineRule="exact"/>
        <w:ind w:firstLine="420"/>
        <w:jc w:val="both"/>
        <w:rPr>
          <w:rFonts w:hint="eastAsia" w:ascii="仿宋_GB2312" w:eastAsia="仿宋_GB2312" w:cs="Times New Roman" w:hAnsiTheme="minorHAnsi"/>
          <w:kern w:val="0"/>
          <w:sz w:val="32"/>
          <w:szCs w:val="32"/>
          <w:lang w:val="en-US" w:eastAsia="zh-CN" w:bidi="ar-SA"/>
        </w:rPr>
      </w:pPr>
      <w:r>
        <w:rPr>
          <w:rFonts w:hint="eastAsia" w:ascii="仿宋_GB2312" w:eastAsia="仿宋_GB2312" w:cs="Times New Roman" w:hAnsiTheme="minorHAnsi"/>
          <w:kern w:val="0"/>
          <w:sz w:val="32"/>
          <w:szCs w:val="32"/>
          <w:lang w:val="en-US" w:eastAsia="zh-CN" w:bidi="ar-SA"/>
        </w:rPr>
        <w:t>根据国务院办公厅印发的《政府信息公开信息处理费管理办法》和浙江省政府办公厅、宁波市政府办公厅关于政府信息公开信息处理费收取工作的有关规定，本机关全年没有收到超出一定数量或者频次范围的政府信息公开申请，也未对申请人收取信息处理费。特此说明。</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07AC88"/>
    <w:multiLevelType w:val="singleLevel"/>
    <w:tmpl w:val="E007AC8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08DE"/>
    <w:rsid w:val="000D5539"/>
    <w:rsid w:val="0023295F"/>
    <w:rsid w:val="002908DE"/>
    <w:rsid w:val="00381C25"/>
    <w:rsid w:val="005A7D0C"/>
    <w:rsid w:val="00612294"/>
    <w:rsid w:val="006D35AD"/>
    <w:rsid w:val="007D446A"/>
    <w:rsid w:val="007F4EBB"/>
    <w:rsid w:val="00860805"/>
    <w:rsid w:val="00867DB1"/>
    <w:rsid w:val="00AE33C7"/>
    <w:rsid w:val="00B826DD"/>
    <w:rsid w:val="00C27349"/>
    <w:rsid w:val="00D15A95"/>
    <w:rsid w:val="00D51323"/>
    <w:rsid w:val="00D61DE5"/>
    <w:rsid w:val="00D63F45"/>
    <w:rsid w:val="00D75A03"/>
    <w:rsid w:val="00DF523E"/>
    <w:rsid w:val="030025D7"/>
    <w:rsid w:val="07575009"/>
    <w:rsid w:val="0B865F2D"/>
    <w:rsid w:val="13C72D3C"/>
    <w:rsid w:val="16620B18"/>
    <w:rsid w:val="16CE70DC"/>
    <w:rsid w:val="1A673B3D"/>
    <w:rsid w:val="20811F8A"/>
    <w:rsid w:val="2C655FBE"/>
    <w:rsid w:val="2E1168A6"/>
    <w:rsid w:val="30BA7DC2"/>
    <w:rsid w:val="3B4D079B"/>
    <w:rsid w:val="3FC126EC"/>
    <w:rsid w:val="42184A42"/>
    <w:rsid w:val="49075D30"/>
    <w:rsid w:val="59FC6B4D"/>
    <w:rsid w:val="659F2220"/>
    <w:rsid w:val="6DA12E6E"/>
    <w:rsid w:val="6E76566B"/>
    <w:rsid w:val="6FE270A4"/>
    <w:rsid w:val="778450F6"/>
    <w:rsid w:val="77D0645A"/>
    <w:rsid w:val="77F11A13"/>
    <w:rsid w:val="79D76261"/>
    <w:rsid w:val="7BF120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Autospacing="1" w:afterAutospacing="1"/>
      <w:jc w:val="left"/>
    </w:pPr>
    <w:rPr>
      <w:rFonts w:cs="Times New Roman"/>
      <w:kern w:val="0"/>
      <w:sz w:val="24"/>
      <w:szCs w:val="24"/>
    </w:rPr>
  </w:style>
  <w:style w:type="character" w:styleId="9">
    <w:name w:val="Hyperlink"/>
    <w:unhideWhenUsed/>
    <w:qFormat/>
    <w:uiPriority w:val="99"/>
    <w:rPr>
      <w:color w:val="000000"/>
      <w:u w:val="none"/>
    </w:rPr>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5</Pages>
  <Words>361</Words>
  <Characters>2063</Characters>
  <Lines>17</Lines>
  <Paragraphs>4</Paragraphs>
  <TotalTime>0</TotalTime>
  <ScaleCrop>false</ScaleCrop>
  <LinksUpToDate>false</LinksUpToDate>
  <CharactersWithSpaces>2420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2021-01-10T01:59:00Z</dcterms:created>
  <dc:creator>Micorosoft</dc:creator>
  <cp:lastModifiedBy>Administrator</cp:lastModifiedBy>
  <dcterms:modified xsi:type="dcterms:W3CDTF">2023-01-13T07:16:22Z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