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color w:val="auto"/>
          <w:sz w:val="36"/>
          <w:szCs w:val="36"/>
          <w:highlight w:val="none"/>
        </w:rPr>
      </w:pPr>
      <w:r>
        <w:rPr>
          <w:rFonts w:hint="eastAsia"/>
          <w:b/>
          <w:bCs/>
          <w:color w:val="auto"/>
          <w:sz w:val="36"/>
          <w:szCs w:val="36"/>
          <w:highlight w:val="none"/>
        </w:rPr>
        <w:t>北仑区综合行政执法局2019年政府信息公开年报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color w:val="auto"/>
          <w:highlight w:val="none"/>
        </w:rPr>
      </w:pPr>
      <w:r>
        <w:rPr>
          <w:rStyle w:val="5"/>
          <w:rFonts w:hint="eastAsia" w:ascii="宋体" w:hAnsi="宋体" w:eastAsia="宋体" w:cs="宋体"/>
          <w:b/>
          <w:i w:val="0"/>
          <w:caps w:val="0"/>
          <w:color w:val="auto"/>
          <w:spacing w:val="0"/>
          <w:sz w:val="24"/>
          <w:szCs w:val="24"/>
          <w:highlight w:val="none"/>
          <w:bdr w:val="none" w:color="auto" w:sz="0" w:space="0"/>
          <w:shd w:val="clear" w:fill="FFFFFF"/>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jc w:val="both"/>
        <w:rPr>
          <w:color w:val="auto"/>
          <w:highlight w:val="none"/>
        </w:rPr>
      </w:pPr>
      <w:r>
        <w:rPr>
          <w:rFonts w:hint="eastAsia" w:ascii="宋体" w:hAnsi="宋体" w:eastAsia="宋体" w:cs="宋体"/>
          <w:i w:val="0"/>
          <w:caps w:val="0"/>
          <w:color w:val="auto"/>
          <w:spacing w:val="0"/>
          <w:sz w:val="24"/>
          <w:szCs w:val="24"/>
          <w:highlight w:val="none"/>
          <w:bdr w:val="none" w:color="auto" w:sz="0" w:space="0"/>
          <w:shd w:val="clear" w:fill="FFFFFF"/>
        </w:rPr>
        <w:t>2019年，我局通过区政府信息公开平台主动公开政府信息共计235条，电子化率达100%。主动公开的政府信息内容包括机构概况、法规公文、部门文件、工作信息、行政执法、人事信息、财政信息等七大类。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jc w:val="both"/>
        <w:rPr>
          <w:color w:val="auto"/>
          <w:highlight w:val="none"/>
        </w:rPr>
      </w:pPr>
      <w:r>
        <w:rPr>
          <w:rFonts w:hint="eastAsia" w:ascii="宋体" w:hAnsi="宋体" w:eastAsia="宋体" w:cs="宋体"/>
          <w:i w:val="0"/>
          <w:caps w:val="0"/>
          <w:color w:val="auto"/>
          <w:spacing w:val="0"/>
          <w:sz w:val="24"/>
          <w:szCs w:val="24"/>
          <w:highlight w:val="none"/>
          <w:bdr w:val="none" w:color="auto" w:sz="0" w:space="0"/>
          <w:shd w:val="clear" w:fill="FFFFFF"/>
        </w:rPr>
        <w:t>在此基础上，积极拓展政府信息公开途径，利用局网站、微信微博等媒体公开各项重大工作进展，累计发布局网站工作动态1773条，“北仑城管”公众号图文86篇、微博352条；通过“新北仑”“民生e点通”等城管在线版块主动回应民生关切，切实解决老百姓关心的堵点难点问题，及时更新各科室联系号码，接受群众的咨询和监督；在“浙里办”平台公开我局行政许可事项，实现100%掌上办、100%网上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jc w:val="both"/>
        <w:rPr>
          <w:color w:val="auto"/>
          <w:highlight w:val="none"/>
        </w:rPr>
      </w:pPr>
      <w:r>
        <w:rPr>
          <w:rFonts w:hint="eastAsia" w:ascii="宋体" w:hAnsi="宋体" w:eastAsia="宋体" w:cs="宋体"/>
          <w:i w:val="0"/>
          <w:caps w:val="0"/>
          <w:color w:val="auto"/>
          <w:spacing w:val="0"/>
          <w:sz w:val="24"/>
          <w:szCs w:val="24"/>
          <w:highlight w:val="none"/>
          <w:bdr w:val="none" w:color="auto" w:sz="0" w:space="0"/>
          <w:shd w:val="clear" w:fill="FFFFFF"/>
        </w:rPr>
        <w:t>2019年，我局共主办区九届人大四次会议代表建议和区政协九届三次会议提案16件，其中人大代表建议9件，政协委员提案7件。经征求代表、委员对办理工作的意见和建议，人大代表、政协委员满意率100%。我局承办的代表建议和政协提案办理答复情况全部通过“北仑之窗”进行全文挂网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jc w:val="both"/>
        <w:rPr>
          <w:color w:val="auto"/>
          <w:highlight w:val="none"/>
        </w:rPr>
      </w:pPr>
      <w:r>
        <w:rPr>
          <w:rStyle w:val="5"/>
          <w:rFonts w:hint="eastAsia" w:ascii="宋体" w:hAnsi="宋体" w:eastAsia="宋体" w:cs="宋体"/>
          <w:b/>
          <w:i w:val="0"/>
          <w:caps w:val="0"/>
          <w:color w:val="auto"/>
          <w:spacing w:val="0"/>
          <w:sz w:val="24"/>
          <w:szCs w:val="24"/>
          <w:highlight w:val="none"/>
          <w:bdr w:val="none" w:color="auto" w:sz="0" w:space="0"/>
          <w:shd w:val="clear" w:fill="FFFFFF"/>
        </w:rPr>
        <w:t>二、主动公开政府信息情况</w:t>
      </w:r>
    </w:p>
    <w:tbl>
      <w:tblPr>
        <w:tblW w:w="8140" w:type="dxa"/>
        <w:jc w:val="center"/>
        <w:shd w:val="clear"/>
        <w:tblLayout w:type="autofit"/>
        <w:tblCellMar>
          <w:top w:w="15" w:type="dxa"/>
          <w:left w:w="15" w:type="dxa"/>
          <w:bottom w:w="15" w:type="dxa"/>
          <w:right w:w="15" w:type="dxa"/>
        </w:tblCellMar>
      </w:tblPr>
      <w:tblGrid>
        <w:gridCol w:w="3113"/>
        <w:gridCol w:w="1875"/>
        <w:gridCol w:w="6"/>
        <w:gridCol w:w="1265"/>
        <w:gridCol w:w="1881"/>
      </w:tblGrid>
      <w:tr>
        <w:tblPrEx>
          <w:shd w:val="clear"/>
          <w:tblCellMar>
            <w:top w:w="15" w:type="dxa"/>
            <w:left w:w="15" w:type="dxa"/>
            <w:bottom w:w="15" w:type="dxa"/>
            <w:right w:w="15"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第二十条第（一）项</w:t>
            </w:r>
          </w:p>
        </w:tc>
      </w:tr>
      <w:tr>
        <w:tblPrEx>
          <w:tblCellMar>
            <w:top w:w="15" w:type="dxa"/>
            <w:left w:w="15" w:type="dxa"/>
            <w:bottom w:w="15" w:type="dxa"/>
            <w:right w:w="15"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信息内容</w:t>
            </w:r>
          </w:p>
        </w:tc>
        <w:tc>
          <w:tcPr>
            <w:tcW w:w="1875" w:type="dxa"/>
            <w:tcBorders>
              <w:top w:val="single" w:color="auto" w:sz="8" w:space="0"/>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本年新</w:t>
            </w:r>
            <w:r>
              <w:rPr>
                <w:rFonts w:hint="eastAsia" w:ascii="宋体" w:hAnsi="宋体" w:eastAsia="宋体" w:cs="宋体"/>
                <w:color w:val="auto"/>
                <w:sz w:val="20"/>
                <w:szCs w:val="20"/>
                <w:highlight w:val="none"/>
              </w:rPr>
              <w:br w:type="textWrapping"/>
            </w:r>
            <w:r>
              <w:rPr>
                <w:rFonts w:hint="eastAsia" w:ascii="宋体" w:hAnsi="宋体" w:eastAsia="宋体" w:cs="宋体"/>
                <w:color w:val="auto"/>
                <w:sz w:val="20"/>
                <w:szCs w:val="20"/>
                <w:highlight w:val="none"/>
              </w:rPr>
              <w:t>制作数量</w:t>
            </w:r>
          </w:p>
        </w:tc>
        <w:tc>
          <w:tcPr>
            <w:tcW w:w="127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本年新</w:t>
            </w:r>
            <w:r>
              <w:rPr>
                <w:rFonts w:hint="eastAsia" w:ascii="宋体" w:hAnsi="宋体" w:eastAsia="宋体" w:cs="宋体"/>
                <w:color w:val="auto"/>
                <w:sz w:val="20"/>
                <w:szCs w:val="20"/>
                <w:highlight w:val="none"/>
              </w:rPr>
              <w:br w:type="textWrapping"/>
            </w:r>
            <w:r>
              <w:rPr>
                <w:rFonts w:hint="eastAsia" w:ascii="宋体" w:hAnsi="宋体" w:eastAsia="宋体" w:cs="宋体"/>
                <w:color w:val="auto"/>
                <w:sz w:val="20"/>
                <w:szCs w:val="20"/>
                <w:highlight w:val="none"/>
              </w:rPr>
              <w:t>公开数量</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对外公开总数量</w:t>
            </w:r>
          </w:p>
        </w:tc>
      </w:tr>
      <w:tr>
        <w:tblPrEx>
          <w:tblCellMar>
            <w:top w:w="15" w:type="dxa"/>
            <w:left w:w="15" w:type="dxa"/>
            <w:bottom w:w="15" w:type="dxa"/>
            <w:right w:w="15"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规章</w:t>
            </w:r>
          </w:p>
        </w:tc>
        <w:tc>
          <w:tcPr>
            <w:tcW w:w="1875"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p>
        </w:tc>
        <w:tc>
          <w:tcPr>
            <w:tcW w:w="127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p>
        </w:tc>
      </w:tr>
      <w:tr>
        <w:tblPrEx>
          <w:tblCellMar>
            <w:top w:w="15" w:type="dxa"/>
            <w:left w:w="15" w:type="dxa"/>
            <w:bottom w:w="15" w:type="dxa"/>
            <w:right w:w="15"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规范性文件</w:t>
            </w:r>
          </w:p>
        </w:tc>
        <w:tc>
          <w:tcPr>
            <w:tcW w:w="1875"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p>
        </w:tc>
        <w:tc>
          <w:tcPr>
            <w:tcW w:w="1271"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p>
        </w:tc>
      </w:tr>
      <w:tr>
        <w:tblPrEx>
          <w:tblCellMar>
            <w:top w:w="15" w:type="dxa"/>
            <w:left w:w="15" w:type="dxa"/>
            <w:bottom w:w="15" w:type="dxa"/>
            <w:right w:w="15"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第二十条第（五）项</w:t>
            </w:r>
          </w:p>
        </w:tc>
      </w:tr>
      <w:tr>
        <w:tblPrEx>
          <w:tblCellMar>
            <w:top w:w="15" w:type="dxa"/>
            <w:left w:w="15" w:type="dxa"/>
            <w:bottom w:w="15" w:type="dxa"/>
            <w:right w:w="15"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信息内容</w:t>
            </w:r>
          </w:p>
        </w:tc>
        <w:tc>
          <w:tcPr>
            <w:tcW w:w="1875" w:type="dxa"/>
            <w:tcBorders>
              <w:top w:val="single" w:color="auto" w:sz="8" w:space="0"/>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上一年项目数量</w:t>
            </w:r>
          </w:p>
        </w:tc>
        <w:tc>
          <w:tcPr>
            <w:tcW w:w="127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本年增/减</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处理决定数量</w:t>
            </w:r>
          </w:p>
        </w:tc>
      </w:tr>
      <w:tr>
        <w:tblPrEx>
          <w:tblCellMar>
            <w:top w:w="15" w:type="dxa"/>
            <w:left w:w="15" w:type="dxa"/>
            <w:bottom w:w="15" w:type="dxa"/>
            <w:right w:w="15"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行政许可</w:t>
            </w:r>
          </w:p>
        </w:tc>
        <w:tc>
          <w:tcPr>
            <w:tcW w:w="1875"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10</w:t>
            </w:r>
          </w:p>
        </w:tc>
        <w:tc>
          <w:tcPr>
            <w:tcW w:w="1271" w:type="dxa"/>
            <w:gridSpan w:val="2"/>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106</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116</w:t>
            </w:r>
          </w:p>
        </w:tc>
      </w:tr>
      <w:tr>
        <w:tblPrEx>
          <w:tblCellMar>
            <w:top w:w="15" w:type="dxa"/>
            <w:left w:w="15" w:type="dxa"/>
            <w:bottom w:w="15" w:type="dxa"/>
            <w:right w:w="15"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其他对外管理服务事项</w:t>
            </w:r>
          </w:p>
        </w:tc>
        <w:tc>
          <w:tcPr>
            <w:tcW w:w="1875"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33</w:t>
            </w:r>
          </w:p>
        </w:tc>
        <w:tc>
          <w:tcPr>
            <w:tcW w:w="1271" w:type="dxa"/>
            <w:gridSpan w:val="2"/>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34</w:t>
            </w:r>
          </w:p>
        </w:tc>
      </w:tr>
      <w:tr>
        <w:tblPrEx>
          <w:tblCellMar>
            <w:top w:w="15" w:type="dxa"/>
            <w:left w:w="15" w:type="dxa"/>
            <w:bottom w:w="15" w:type="dxa"/>
            <w:right w:w="15"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第二十条第（六）项</w:t>
            </w:r>
          </w:p>
        </w:tc>
      </w:tr>
      <w:tr>
        <w:tblPrEx>
          <w:tblCellMar>
            <w:top w:w="15" w:type="dxa"/>
            <w:left w:w="15" w:type="dxa"/>
            <w:bottom w:w="15" w:type="dxa"/>
            <w:right w:w="15"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信息内容</w:t>
            </w:r>
          </w:p>
        </w:tc>
        <w:tc>
          <w:tcPr>
            <w:tcW w:w="1875" w:type="dxa"/>
            <w:tcBorders>
              <w:top w:val="single" w:color="auto" w:sz="8" w:space="0"/>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上一年项目数量</w:t>
            </w:r>
          </w:p>
        </w:tc>
        <w:tc>
          <w:tcPr>
            <w:tcW w:w="1271"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本年增/减</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处理决定数量</w:t>
            </w:r>
          </w:p>
        </w:tc>
      </w:tr>
      <w:tr>
        <w:tblPrEx>
          <w:tblCellMar>
            <w:top w:w="15" w:type="dxa"/>
            <w:left w:w="15" w:type="dxa"/>
            <w:bottom w:w="15" w:type="dxa"/>
            <w:right w:w="15"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行政处罚</w:t>
            </w:r>
          </w:p>
        </w:tc>
        <w:tc>
          <w:tcPr>
            <w:tcW w:w="1881" w:type="dxa"/>
            <w:gridSpan w:val="2"/>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1456</w:t>
            </w:r>
          </w:p>
        </w:tc>
        <w:tc>
          <w:tcPr>
            <w:tcW w:w="1265"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1708</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3164</w:t>
            </w:r>
          </w:p>
        </w:tc>
      </w:tr>
      <w:tr>
        <w:tblPrEx>
          <w:tblCellMar>
            <w:top w:w="15" w:type="dxa"/>
            <w:left w:w="15" w:type="dxa"/>
            <w:bottom w:w="15" w:type="dxa"/>
            <w:right w:w="15"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行政强制</w:t>
            </w:r>
          </w:p>
        </w:tc>
        <w:tc>
          <w:tcPr>
            <w:tcW w:w="1881" w:type="dxa"/>
            <w:gridSpan w:val="2"/>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0</w:t>
            </w:r>
          </w:p>
        </w:tc>
        <w:tc>
          <w:tcPr>
            <w:tcW w:w="1265"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0</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0</w:t>
            </w:r>
          </w:p>
        </w:tc>
      </w:tr>
      <w:tr>
        <w:tblPrEx>
          <w:tblCellMar>
            <w:top w:w="15" w:type="dxa"/>
            <w:left w:w="15" w:type="dxa"/>
            <w:bottom w:w="15" w:type="dxa"/>
            <w:right w:w="15"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第二十条第（八）项</w:t>
            </w:r>
          </w:p>
        </w:tc>
      </w:tr>
      <w:tr>
        <w:tblPrEx>
          <w:tblCellMar>
            <w:top w:w="15" w:type="dxa"/>
            <w:left w:w="15" w:type="dxa"/>
            <w:bottom w:w="15" w:type="dxa"/>
            <w:right w:w="15"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信息内容</w:t>
            </w:r>
          </w:p>
        </w:tc>
        <w:tc>
          <w:tcPr>
            <w:tcW w:w="1881" w:type="dxa"/>
            <w:gridSpan w:val="2"/>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上一年项目数量</w:t>
            </w:r>
          </w:p>
        </w:tc>
        <w:tc>
          <w:tcPr>
            <w:tcW w:w="3146" w:type="dxa"/>
            <w:gridSpan w:val="2"/>
            <w:tcBorders>
              <w:top w:val="single" w:color="auto" w:sz="8" w:space="0"/>
              <w:left w:val="nil"/>
              <w:bottom w:val="single" w:color="auto" w:sz="8" w:space="0"/>
              <w:right w:val="single" w:color="000000"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本年增/减</w:t>
            </w:r>
          </w:p>
        </w:tc>
      </w:tr>
      <w:tr>
        <w:tblPrEx>
          <w:tblCellMar>
            <w:top w:w="15" w:type="dxa"/>
            <w:left w:w="15" w:type="dxa"/>
            <w:bottom w:w="15" w:type="dxa"/>
            <w:right w:w="15"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行政事业性收费</w:t>
            </w:r>
          </w:p>
        </w:tc>
        <w:tc>
          <w:tcPr>
            <w:tcW w:w="1881" w:type="dxa"/>
            <w:gridSpan w:val="2"/>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　0</w:t>
            </w:r>
          </w:p>
        </w:tc>
        <w:tc>
          <w:tcPr>
            <w:tcW w:w="3146" w:type="dxa"/>
            <w:gridSpan w:val="2"/>
            <w:tcBorders>
              <w:top w:val="nil"/>
              <w:left w:val="nil"/>
              <w:bottom w:val="single" w:color="auto" w:sz="8" w:space="0"/>
              <w:right w:val="single" w:color="000000"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0 </w:t>
            </w:r>
          </w:p>
        </w:tc>
      </w:tr>
      <w:tr>
        <w:tblPrEx>
          <w:tblCellMar>
            <w:top w:w="15" w:type="dxa"/>
            <w:left w:w="15" w:type="dxa"/>
            <w:bottom w:w="15" w:type="dxa"/>
            <w:right w:w="15"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第二十条第（九）项</w:t>
            </w:r>
          </w:p>
        </w:tc>
      </w:tr>
      <w:tr>
        <w:tblPrEx>
          <w:tblCellMar>
            <w:top w:w="15" w:type="dxa"/>
            <w:left w:w="15" w:type="dxa"/>
            <w:bottom w:w="15" w:type="dxa"/>
            <w:right w:w="15"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信息内容</w:t>
            </w:r>
          </w:p>
        </w:tc>
        <w:tc>
          <w:tcPr>
            <w:tcW w:w="1881" w:type="dxa"/>
            <w:gridSpan w:val="2"/>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采购项目数量</w:t>
            </w:r>
          </w:p>
        </w:tc>
        <w:tc>
          <w:tcPr>
            <w:tcW w:w="3146" w:type="dxa"/>
            <w:gridSpan w:val="2"/>
            <w:tcBorders>
              <w:top w:val="single" w:color="auto" w:sz="8" w:space="0"/>
              <w:left w:val="nil"/>
              <w:bottom w:val="single" w:color="auto" w:sz="8" w:space="0"/>
              <w:right w:val="single" w:color="000000"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采购总金额</w:t>
            </w:r>
          </w:p>
        </w:tc>
      </w:tr>
      <w:tr>
        <w:tblPrEx>
          <w:tblCellMar>
            <w:top w:w="15" w:type="dxa"/>
            <w:left w:w="15" w:type="dxa"/>
            <w:bottom w:w="15" w:type="dxa"/>
            <w:right w:w="15"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政府集中采购</w:t>
            </w:r>
          </w:p>
        </w:tc>
        <w:tc>
          <w:tcPr>
            <w:tcW w:w="1881" w:type="dxa"/>
            <w:gridSpan w:val="2"/>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26批</w:t>
            </w:r>
          </w:p>
        </w:tc>
        <w:tc>
          <w:tcPr>
            <w:tcW w:w="3146" w:type="dxa"/>
            <w:gridSpan w:val="2"/>
            <w:tcBorders>
              <w:top w:val="nil"/>
              <w:left w:val="nil"/>
              <w:bottom w:val="single" w:color="auto" w:sz="8" w:space="0"/>
              <w:right w:val="single" w:color="000000" w:sz="8" w:space="0"/>
            </w:tcBorders>
            <w:shd w:val="clear"/>
            <w:noWrap/>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204.5万</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color w:val="auto"/>
          <w:highlight w:val="none"/>
        </w:rPr>
      </w:pPr>
      <w:r>
        <w:rPr>
          <w:rFonts w:hint="eastAsia" w:ascii="宋体" w:hAnsi="宋体" w:eastAsia="宋体" w:cs="宋体"/>
          <w:i w:val="0"/>
          <w:caps w:val="0"/>
          <w:color w:val="auto"/>
          <w:spacing w:val="0"/>
          <w:sz w:val="24"/>
          <w:szCs w:val="24"/>
          <w:highlight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jc w:val="both"/>
        <w:rPr>
          <w:color w:val="auto"/>
          <w:highlight w:val="none"/>
        </w:rPr>
      </w:pPr>
      <w:r>
        <w:rPr>
          <w:rStyle w:val="5"/>
          <w:rFonts w:hint="eastAsia" w:ascii="宋体" w:hAnsi="宋体" w:eastAsia="宋体" w:cs="宋体"/>
          <w:b/>
          <w:i w:val="0"/>
          <w:caps w:val="0"/>
          <w:color w:val="auto"/>
          <w:spacing w:val="0"/>
          <w:sz w:val="24"/>
          <w:szCs w:val="24"/>
          <w:highlight w:val="none"/>
          <w:bdr w:val="none" w:color="auto" w:sz="0" w:space="0"/>
          <w:shd w:val="clear" w:fill="FFFFFF"/>
        </w:rPr>
        <w:t>三、收到和处理政府信息公开申请情况</w:t>
      </w:r>
    </w:p>
    <w:tbl>
      <w:tblPr>
        <w:tblW w:w="9071"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616"/>
        <w:gridCol w:w="854"/>
        <w:gridCol w:w="2086"/>
        <w:gridCol w:w="813"/>
        <w:gridCol w:w="755"/>
        <w:gridCol w:w="755"/>
        <w:gridCol w:w="813"/>
        <w:gridCol w:w="973"/>
        <w:gridCol w:w="711"/>
        <w:gridCol w:w="69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3556" w:type="dxa"/>
            <w:gridSpan w:val="3"/>
            <w:vMerge w:val="restar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（本列数据的勾稽关系为：第一项加第二项之和，等于第三项加第四项之和）</w:t>
            </w:r>
          </w:p>
        </w:tc>
        <w:tc>
          <w:tcPr>
            <w:tcW w:w="5515" w:type="dxa"/>
            <w:gridSpan w:val="7"/>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3556" w:type="dxa"/>
            <w:gridSpan w:val="3"/>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sans-serif" w:hAnsi="sans-serif" w:eastAsia="sans-serif" w:cs="sans-serif"/>
                <w:color w:val="auto"/>
                <w:sz w:val="24"/>
                <w:szCs w:val="24"/>
                <w:highlight w:val="none"/>
              </w:rPr>
            </w:pPr>
          </w:p>
        </w:tc>
        <w:tc>
          <w:tcPr>
            <w:tcW w:w="813"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自然人</w:t>
            </w:r>
          </w:p>
        </w:tc>
        <w:tc>
          <w:tcPr>
            <w:tcW w:w="4007"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法人或其他组织</w:t>
            </w:r>
          </w:p>
        </w:tc>
        <w:tc>
          <w:tcPr>
            <w:tcW w:w="695"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556" w:type="dxa"/>
            <w:gridSpan w:val="3"/>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13"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商业企业</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科研机构</w:t>
            </w:r>
          </w:p>
        </w:tc>
        <w:tc>
          <w:tcPr>
            <w:tcW w:w="81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社会公益组织</w:t>
            </w:r>
          </w:p>
        </w:tc>
        <w:tc>
          <w:tcPr>
            <w:tcW w:w="97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法律服务机构</w:t>
            </w:r>
          </w:p>
        </w:tc>
        <w:tc>
          <w:tcPr>
            <w:tcW w:w="71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其他</w:t>
            </w:r>
          </w:p>
        </w:tc>
        <w:tc>
          <w:tcPr>
            <w:tcW w:w="69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一、本年新收政府信息公开申请数量</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二、上年结转政府信息公开申请数量</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三、本年度办理结果</w:t>
            </w:r>
          </w:p>
        </w:tc>
        <w:tc>
          <w:tcPr>
            <w:tcW w:w="294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ascii="楷体" w:hAnsi="楷体" w:eastAsia="楷体" w:cs="楷体"/>
                <w:color w:val="auto"/>
                <w:sz w:val="20"/>
                <w:szCs w:val="20"/>
                <w:highlight w:val="none"/>
              </w:rPr>
              <w:t>（一）予以公开</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94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（二）部分公开（区分处理的，只计这一情形，不计其他情形）</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（三）不予公开</w:t>
            </w: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1.属于国家秘密</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2.其他法律行政法规禁止公开</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3.危及“三安全一稳定”</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4.保护第三方合法权益</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5.属于三类内部事务信息</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6.属于四类过程性信息</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7.属于行政执法案卷</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8.属于行政查询事项</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（四）无法提供</w:t>
            </w: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1.本机关不掌握相关政府信息</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2.没有现成信息需要另行制作</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3.补正后申请内容仍不明确</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（五）不予处理</w:t>
            </w: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1.信访举报投诉类申请</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2.重复申请</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3.要求提供公开出版物</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4.无正当理由大量反复申请</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85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0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5.要求行政机关确认或重新出具已获取信息</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94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（六）其他处理</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294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楷体" w:hAnsi="楷体" w:eastAsia="楷体" w:cs="楷体"/>
                <w:color w:val="auto"/>
                <w:sz w:val="20"/>
                <w:szCs w:val="20"/>
                <w:highlight w:val="none"/>
              </w:rPr>
              <w:t>（七）总计</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left"/>
              <w:rPr>
                <w:color w:val="auto"/>
                <w:highlight w:val="none"/>
              </w:rPr>
            </w:pPr>
            <w:r>
              <w:rPr>
                <w:rFonts w:hint="eastAsia" w:ascii="宋体" w:hAnsi="宋体" w:eastAsia="宋体" w:cs="宋体"/>
                <w:color w:val="auto"/>
                <w:sz w:val="20"/>
                <w:szCs w:val="20"/>
                <w:highlight w:val="none"/>
              </w:rPr>
              <w:t>四、结转下年度继续办理</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7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c>
          <w:tcPr>
            <w:tcW w:w="81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9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7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0</w:t>
            </w:r>
            <w:r>
              <w:rPr>
                <w:rFonts w:hint="default" w:ascii="Calibri" w:hAnsi="Calibri" w:eastAsia="sans-serif" w:cs="Calibri"/>
                <w:color w:val="auto"/>
                <w:sz w:val="20"/>
                <w:szCs w:val="20"/>
                <w:highlight w:val="none"/>
              </w:rPr>
              <w:t> </w:t>
            </w:r>
          </w:p>
        </w:tc>
        <w:tc>
          <w:tcPr>
            <w:tcW w:w="69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default" w:ascii="Calibri" w:hAnsi="Calibri" w:eastAsia="sans-serif" w:cs="Calibri"/>
                <w:color w:val="auto"/>
                <w:sz w:val="20"/>
                <w:szCs w:val="20"/>
                <w:highlight w:val="none"/>
              </w:rPr>
              <w:t> </w:t>
            </w:r>
            <w:r>
              <w:rPr>
                <w:rFonts w:hint="eastAsia" w:ascii="宋体" w:hAnsi="宋体" w:eastAsia="宋体" w:cs="宋体"/>
                <w:color w:val="auto"/>
                <w:sz w:val="20"/>
                <w:szCs w:val="20"/>
                <w:highlight w:val="none"/>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color w:val="auto"/>
          <w:highlight w:val="none"/>
        </w:rPr>
      </w:pPr>
      <w:r>
        <w:rPr>
          <w:rFonts w:hint="eastAsia" w:ascii="宋体" w:hAnsi="宋体" w:eastAsia="宋体" w:cs="宋体"/>
          <w:i w:val="0"/>
          <w:caps w:val="0"/>
          <w:color w:val="auto"/>
          <w:spacing w:val="0"/>
          <w:sz w:val="24"/>
          <w:szCs w:val="24"/>
          <w:highlight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color w:val="auto"/>
          <w:highlight w:val="none"/>
        </w:rPr>
      </w:pPr>
      <w:r>
        <w:rPr>
          <w:rStyle w:val="5"/>
          <w:rFonts w:hint="eastAsia" w:ascii="宋体" w:hAnsi="宋体" w:eastAsia="宋体" w:cs="宋体"/>
          <w:b/>
          <w:i w:val="0"/>
          <w:caps w:val="0"/>
          <w:color w:val="auto"/>
          <w:spacing w:val="0"/>
          <w:sz w:val="24"/>
          <w:szCs w:val="24"/>
          <w:highlight w:val="none"/>
          <w:bdr w:val="none" w:color="auto" w:sz="0" w:space="0"/>
          <w:shd w:val="clear" w:fill="FFFFFF"/>
        </w:rPr>
        <w:t>四、政府信息公开行政复议、行政诉讼情况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color w:val="auto"/>
          <w:highlight w:val="none"/>
        </w:rPr>
      </w:pPr>
      <w:r>
        <w:rPr>
          <w:rFonts w:hint="eastAsia" w:ascii="宋体" w:hAnsi="宋体" w:eastAsia="宋体" w:cs="宋体"/>
          <w:i w:val="0"/>
          <w:caps w:val="0"/>
          <w:color w:val="auto"/>
          <w:spacing w:val="0"/>
          <w:sz w:val="24"/>
          <w:szCs w:val="24"/>
          <w:highlight w:val="none"/>
          <w:bdr w:val="none" w:color="auto" w:sz="0" w:space="0"/>
          <w:shd w:val="clear" w:fill="FFFFFF"/>
        </w:rPr>
        <w:t> </w:t>
      </w:r>
    </w:p>
    <w:tbl>
      <w:tblPr>
        <w:tblW w:w="9071"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行政复议</w:t>
            </w:r>
          </w:p>
        </w:tc>
        <w:tc>
          <w:tcPr>
            <w:tcW w:w="5997" w:type="dxa"/>
            <w:gridSpan w:val="10"/>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结果维持</w:t>
            </w:r>
          </w:p>
        </w:tc>
        <w:tc>
          <w:tcPr>
            <w:tcW w:w="604"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结果纠正</w:t>
            </w:r>
          </w:p>
        </w:tc>
        <w:tc>
          <w:tcPr>
            <w:tcW w:w="604"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其他结果</w:t>
            </w:r>
          </w:p>
        </w:tc>
        <w:tc>
          <w:tcPr>
            <w:tcW w:w="604"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尚未审结</w:t>
            </w:r>
          </w:p>
        </w:tc>
        <w:tc>
          <w:tcPr>
            <w:tcW w:w="658"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总计</w:t>
            </w:r>
          </w:p>
        </w:tc>
        <w:tc>
          <w:tcPr>
            <w:tcW w:w="2970"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未经复议直接起诉</w:t>
            </w:r>
          </w:p>
        </w:tc>
        <w:tc>
          <w:tcPr>
            <w:tcW w:w="3027"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604"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604"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604"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658"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sans-serif" w:hAnsi="sans-serif" w:eastAsia="sans-serif" w:cs="sans-serif"/>
                <w:color w:val="auto"/>
                <w:sz w:val="24"/>
                <w:szCs w:val="24"/>
                <w:highlight w:val="none"/>
              </w:rPr>
            </w:pPr>
          </w:p>
        </w:tc>
        <w:tc>
          <w:tcPr>
            <w:tcW w:w="5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结果维持</w:t>
            </w:r>
          </w:p>
        </w:tc>
        <w:tc>
          <w:tcPr>
            <w:tcW w:w="6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结果纠正</w:t>
            </w:r>
          </w:p>
        </w:tc>
        <w:tc>
          <w:tcPr>
            <w:tcW w:w="6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其他结果</w:t>
            </w:r>
          </w:p>
        </w:tc>
        <w:tc>
          <w:tcPr>
            <w:tcW w:w="6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尚未审结</w:t>
            </w:r>
          </w:p>
        </w:tc>
        <w:tc>
          <w:tcPr>
            <w:tcW w:w="6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总计</w:t>
            </w:r>
          </w:p>
        </w:tc>
        <w:tc>
          <w:tcPr>
            <w:tcW w:w="6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结果维持</w:t>
            </w:r>
          </w:p>
        </w:tc>
        <w:tc>
          <w:tcPr>
            <w:tcW w:w="6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结果纠正</w:t>
            </w:r>
          </w:p>
        </w:tc>
        <w:tc>
          <w:tcPr>
            <w:tcW w:w="6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其他结果</w:t>
            </w:r>
          </w:p>
        </w:tc>
        <w:tc>
          <w:tcPr>
            <w:tcW w:w="60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尚未审结</w:t>
            </w:r>
          </w:p>
        </w:tc>
        <w:tc>
          <w:tcPr>
            <w:tcW w:w="60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180" w:afterAutospacing="0"/>
              <w:ind w:left="0" w:right="0"/>
              <w:jc w:val="center"/>
              <w:rPr>
                <w:color w:val="auto"/>
                <w:highlight w:val="none"/>
              </w:rPr>
            </w:pPr>
            <w:r>
              <w:rPr>
                <w:rFonts w:hint="eastAsia" w:ascii="宋体" w:hAnsi="宋体" w:eastAsia="宋体" w:cs="宋体"/>
                <w:color w:val="auto"/>
                <w:sz w:val="20"/>
                <w:szCs w:val="20"/>
                <w:highlight w:val="none"/>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60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0</w:t>
            </w:r>
          </w:p>
        </w:tc>
        <w:tc>
          <w:tcPr>
            <w:tcW w:w="6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5</w:t>
            </w:r>
          </w:p>
        </w:tc>
        <w:tc>
          <w:tcPr>
            <w:tcW w:w="6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4</w:t>
            </w:r>
          </w:p>
        </w:tc>
        <w:tc>
          <w:tcPr>
            <w:tcW w:w="6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w:t>
            </w:r>
          </w:p>
        </w:tc>
        <w:tc>
          <w:tcPr>
            <w:tcW w:w="65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10</w:t>
            </w:r>
          </w:p>
        </w:tc>
        <w:tc>
          <w:tcPr>
            <w:tcW w:w="5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w:t>
            </w:r>
          </w:p>
        </w:tc>
        <w:tc>
          <w:tcPr>
            <w:tcW w:w="6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w:t>
            </w:r>
          </w:p>
        </w:tc>
        <w:tc>
          <w:tcPr>
            <w:tcW w:w="6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2</w:t>
            </w:r>
          </w:p>
        </w:tc>
        <w:tc>
          <w:tcPr>
            <w:tcW w:w="6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9</w:t>
            </w:r>
          </w:p>
        </w:tc>
        <w:tc>
          <w:tcPr>
            <w:tcW w:w="6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13</w:t>
            </w:r>
          </w:p>
        </w:tc>
        <w:tc>
          <w:tcPr>
            <w:tcW w:w="6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3</w:t>
            </w:r>
          </w:p>
        </w:tc>
        <w:tc>
          <w:tcPr>
            <w:tcW w:w="6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0</w:t>
            </w:r>
          </w:p>
        </w:tc>
        <w:tc>
          <w:tcPr>
            <w:tcW w:w="6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1</w:t>
            </w:r>
          </w:p>
        </w:tc>
        <w:tc>
          <w:tcPr>
            <w:tcW w:w="6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3</w:t>
            </w:r>
          </w:p>
        </w:tc>
        <w:tc>
          <w:tcPr>
            <w:tcW w:w="60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center"/>
              <w:rPr>
                <w:color w:val="auto"/>
                <w:highlight w:val="none"/>
              </w:rPr>
            </w:pPr>
            <w:r>
              <w:rPr>
                <w:rFonts w:hint="eastAsia" w:ascii="宋体" w:hAnsi="宋体" w:eastAsia="宋体" w:cs="宋体"/>
                <w:color w:val="auto"/>
                <w:sz w:val="20"/>
                <w:szCs w:val="20"/>
                <w:highlight w:val="none"/>
              </w:rPr>
              <w:t>7</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color w:val="auto"/>
          <w:highlight w:val="none"/>
        </w:rPr>
      </w:pPr>
      <w:r>
        <w:rPr>
          <w:rFonts w:hint="eastAsia" w:ascii="宋体" w:hAnsi="宋体" w:eastAsia="宋体" w:cs="宋体"/>
          <w:i w:val="0"/>
          <w:caps w:val="0"/>
          <w:color w:val="auto"/>
          <w:spacing w:val="0"/>
          <w:sz w:val="24"/>
          <w:szCs w:val="24"/>
          <w:highlight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color w:val="auto"/>
          <w:highlight w:val="none"/>
        </w:rPr>
      </w:pPr>
      <w:r>
        <w:rPr>
          <w:rStyle w:val="5"/>
          <w:rFonts w:hint="eastAsia" w:ascii="宋体" w:hAnsi="宋体" w:eastAsia="宋体" w:cs="宋体"/>
          <w:b/>
          <w:i w:val="0"/>
          <w:caps w:val="0"/>
          <w:color w:val="auto"/>
          <w:spacing w:val="0"/>
          <w:sz w:val="24"/>
          <w:szCs w:val="24"/>
          <w:highlight w:val="none"/>
          <w:bdr w:val="none" w:color="auto" w:sz="0" w:space="0"/>
          <w:shd w:val="clear" w:fill="FFFFFF"/>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color w:val="auto"/>
          <w:highlight w:val="none"/>
        </w:rPr>
      </w:pPr>
      <w:r>
        <w:rPr>
          <w:rFonts w:hint="eastAsia" w:ascii="宋体" w:hAnsi="宋体" w:eastAsia="宋体" w:cs="宋体"/>
          <w:i w:val="0"/>
          <w:caps w:val="0"/>
          <w:color w:val="auto"/>
          <w:spacing w:val="0"/>
          <w:sz w:val="24"/>
          <w:szCs w:val="24"/>
          <w:highlight w:val="none"/>
          <w:bdr w:val="none" w:color="auto" w:sz="0" w:space="0"/>
          <w:shd w:val="clear" w:fill="FFFFFF"/>
        </w:rPr>
        <w:t>一是信息公开人员工作熟练性和专业性有待增强。二是信息公开的内容需更加全面。针对以上情况，我局将继续完善措施，进一步确保信息公开的及时性和全面性；进一步提升工作人员的业务水平，为做好我局政府信息公开工作奠定坚实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color w:val="auto"/>
          <w:highlight w:val="none"/>
        </w:rPr>
      </w:pPr>
      <w:r>
        <w:rPr>
          <w:rStyle w:val="5"/>
          <w:rFonts w:hint="eastAsia" w:ascii="宋体" w:hAnsi="宋体" w:eastAsia="宋体" w:cs="宋体"/>
          <w:b/>
          <w:i w:val="0"/>
          <w:caps w:val="0"/>
          <w:color w:val="auto"/>
          <w:spacing w:val="0"/>
          <w:sz w:val="24"/>
          <w:szCs w:val="24"/>
          <w:highlight w:val="none"/>
          <w:bdr w:val="none" w:color="auto" w:sz="0" w:space="0"/>
          <w:shd w:val="clear" w:fill="FFFFFF"/>
        </w:rPr>
        <w:t>六、其他需要报告的事项</w:t>
      </w:r>
    </w:p>
    <w:p>
      <w:pPr>
        <w:pStyle w:val="2"/>
        <w:keepNext w:val="0"/>
        <w:keepLines w:val="0"/>
        <w:widowControl/>
        <w:suppressLineNumbers w:val="0"/>
        <w:spacing w:before="0" w:beforeAutospacing="0" w:after="0" w:afterAutospacing="0"/>
        <w:ind w:left="0" w:right="0" w:firstLine="480"/>
        <w:rPr>
          <w:color w:val="auto"/>
          <w:highlight w:val="none"/>
        </w:rPr>
      </w:pPr>
      <w:r>
        <w:rPr>
          <w:rFonts w:hint="eastAsia" w:ascii="宋体" w:hAnsi="宋体" w:eastAsia="宋体" w:cs="宋体"/>
          <w:i w:val="0"/>
          <w:caps w:val="0"/>
          <w:color w:val="auto"/>
          <w:spacing w:val="0"/>
          <w:sz w:val="24"/>
          <w:szCs w:val="24"/>
          <w:highlight w:val="none"/>
        </w:rPr>
        <w:t>我局结合工作实际，以局门户网站为主，北仑城管公众号为辅，积极拓展微博、短视频等融媒体平台，全面推进政府信息公开工作。一年以来，在健全工作机制、完善公开内容等方面取得新进展，有效促进了城管执法监管的公开透明、促进了城市管理领域相关政策的公开。</w:t>
      </w:r>
    </w:p>
    <w:p>
      <w:pPr>
        <w:pStyle w:val="2"/>
        <w:keepNext w:val="0"/>
        <w:keepLines w:val="0"/>
        <w:widowControl/>
        <w:suppressLineNumbers w:val="0"/>
        <w:rPr>
          <w:color w:val="auto"/>
          <w:highlight w:val="none"/>
        </w:rPr>
      </w:pPr>
      <w:r>
        <w:rPr>
          <w:color w:val="auto"/>
          <w:highlight w:val="none"/>
          <w:bdr w:val="none" w:color="auto" w:sz="0" w:space="0"/>
        </w:rPr>
        <w:t> </w:t>
      </w:r>
      <w:bookmarkStart w:id="0" w:name="_GoBack"/>
      <w:bookmarkEnd w:id="0"/>
    </w:p>
    <w:p>
      <w:pPr>
        <w:jc w:val="both"/>
        <w:rPr>
          <w:rFonts w:hint="eastAsia"/>
          <w:b/>
          <w:bCs/>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ESRI AMFM Electric"/>
    <w:panose1 w:val="00000000000000000000"/>
    <w:charset w:val="00"/>
    <w:family w:val="auto"/>
    <w:pitch w:val="default"/>
    <w:sig w:usb0="00000000" w:usb1="00000000" w:usb2="00000000" w:usb3="00000000" w:csb0="00000000" w:csb1="00000000"/>
  </w:font>
  <w:font w:name="ESRI AMFM Electric">
    <w:panose1 w:val="02000400000000000000"/>
    <w:charset w:val="00"/>
    <w:family w:val="auto"/>
    <w:pitch w:val="default"/>
    <w:sig w:usb0="00000003"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F70A9E"/>
    <w:rsid w:val="73F70A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0" w:after="0" w:afterAutospacing="0" w:line="420" w:lineRule="atLeast"/>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800080"/>
      <w:u w:val="single"/>
    </w:rPr>
  </w:style>
  <w:style w:type="character" w:styleId="7">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2020-03-20T02:17:00Z</dcterms:created>
  <dc:creator>M</dc:creator>
  <cp:lastModifiedBy>M</cp:lastModifiedBy>
  <dcterms:modified xsi:type="dcterms:W3CDTF">2020-03-20T02:23:06Z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